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96" w:rsidRDefault="00D24596">
      <w:pPr>
        <w:pStyle w:val="BodyText"/>
        <w:ind w:left="0" w:firstLine="0"/>
        <w:rPr>
          <w:rFonts w:ascii="Times New Roman"/>
          <w:sz w:val="20"/>
        </w:rPr>
      </w:pPr>
    </w:p>
    <w:p w:rsidR="00D24596" w:rsidRDefault="00D24596">
      <w:pPr>
        <w:pStyle w:val="BodyText"/>
        <w:ind w:left="0" w:firstLine="0"/>
        <w:rPr>
          <w:rFonts w:ascii="Times New Roman"/>
          <w:sz w:val="19"/>
        </w:rPr>
      </w:pPr>
    </w:p>
    <w:p w:rsidR="009C17A0" w:rsidRPr="00927479" w:rsidRDefault="009C17A0" w:rsidP="009C17A0">
      <w:pPr>
        <w:tabs>
          <w:tab w:val="left" w:pos="821"/>
        </w:tabs>
        <w:spacing w:before="159" w:line="259" w:lineRule="auto"/>
        <w:ind w:right="424"/>
        <w:rPr>
          <w:rFonts w:asciiTheme="minorHAnsi" w:hAnsiTheme="minorHAnsi"/>
          <w:sz w:val="24"/>
        </w:rPr>
      </w:pPr>
      <w:r w:rsidRPr="00927479">
        <w:rPr>
          <w:rFonts w:asciiTheme="minorHAnsi" w:hAnsiTheme="minorHAnsi"/>
          <w:sz w:val="24"/>
        </w:rPr>
        <w:t>April 16, 2021,</w:t>
      </w:r>
    </w:p>
    <w:p w:rsidR="009C17A0" w:rsidRPr="00927479" w:rsidRDefault="009C17A0" w:rsidP="009C17A0">
      <w:pPr>
        <w:tabs>
          <w:tab w:val="left" w:pos="821"/>
        </w:tabs>
        <w:spacing w:before="159" w:line="259" w:lineRule="auto"/>
        <w:ind w:right="424"/>
        <w:rPr>
          <w:rFonts w:asciiTheme="minorHAnsi" w:hAnsiTheme="minorHAnsi"/>
          <w:sz w:val="24"/>
        </w:rPr>
      </w:pPr>
    </w:p>
    <w:p w:rsidR="00DC3089" w:rsidRPr="00927479" w:rsidRDefault="009C17A0" w:rsidP="009C17A0">
      <w:pPr>
        <w:tabs>
          <w:tab w:val="left" w:pos="821"/>
        </w:tabs>
        <w:spacing w:before="159" w:line="259" w:lineRule="auto"/>
        <w:ind w:right="424"/>
        <w:rPr>
          <w:rFonts w:asciiTheme="minorHAnsi" w:hAnsiTheme="minorHAnsi"/>
          <w:sz w:val="24"/>
        </w:rPr>
      </w:pPr>
      <w:r w:rsidRPr="00927479">
        <w:rPr>
          <w:rFonts w:asciiTheme="minorHAnsi" w:hAnsiTheme="minorHAnsi"/>
          <w:sz w:val="24"/>
        </w:rPr>
        <w:t>To Our Valued Angel Investors,</w:t>
      </w:r>
    </w:p>
    <w:p w:rsidR="00360C81" w:rsidRPr="00927479" w:rsidRDefault="00360C81" w:rsidP="009C17A0">
      <w:pPr>
        <w:pStyle w:val="NormalWeb"/>
        <w:shd w:val="clear" w:color="auto" w:fill="FFFFFF"/>
        <w:spacing w:before="0" w:beforeAutospacing="0"/>
        <w:rPr>
          <w:rFonts w:asciiTheme="minorHAnsi" w:hAnsiTheme="minorHAnsi" w:cs="Arial"/>
          <w:shd w:val="clear" w:color="auto" w:fill="FFFFFF"/>
        </w:rPr>
      </w:pPr>
    </w:p>
    <w:p w:rsidR="009C17A0" w:rsidRPr="00927479" w:rsidRDefault="009C17A0" w:rsidP="009C17A0">
      <w:pPr>
        <w:pStyle w:val="NormalWeb"/>
        <w:shd w:val="clear" w:color="auto" w:fill="FFFFFF"/>
        <w:spacing w:before="0" w:beforeAutospacing="0"/>
        <w:rPr>
          <w:rFonts w:asciiTheme="minorHAnsi" w:hAnsiTheme="minorHAnsi" w:cs="Arial"/>
        </w:rPr>
      </w:pPr>
      <w:r w:rsidRPr="00927479">
        <w:rPr>
          <w:rFonts w:asciiTheme="minorHAnsi" w:hAnsiTheme="minorHAnsi" w:cs="Arial"/>
          <w:shd w:val="clear" w:color="auto" w:fill="FFFFFF"/>
        </w:rPr>
        <w:t xml:space="preserve">2020 was a year like no other. When we started out, we were looking forward to a great year of </w:t>
      </w:r>
      <w:r w:rsidR="00D24DC0" w:rsidRPr="00927479">
        <w:rPr>
          <w:rFonts w:asciiTheme="minorHAnsi" w:hAnsiTheme="minorHAnsi" w:cs="Arial"/>
          <w:shd w:val="clear" w:color="auto" w:fill="FFFFFF"/>
        </w:rPr>
        <w:t>accomplishment in</w:t>
      </w:r>
      <w:r w:rsidR="003E5008" w:rsidRPr="00927479">
        <w:rPr>
          <w:rFonts w:asciiTheme="minorHAnsi" w:hAnsiTheme="minorHAnsi" w:cs="Arial"/>
          <w:shd w:val="clear" w:color="auto" w:fill="FFFFFF"/>
        </w:rPr>
        <w:t xml:space="preserve"> the development of our AptaSure</w:t>
      </w:r>
      <w:r w:rsidR="00D24DC0" w:rsidRPr="00927479">
        <w:rPr>
          <w:rFonts w:asciiTheme="minorHAnsi" w:hAnsiTheme="minorHAnsi" w:cs="Arial"/>
          <w:shd w:val="clear" w:color="auto" w:fill="FFFFFF"/>
          <w:vertAlign w:val="superscript"/>
        </w:rPr>
        <w:t>™</w:t>
      </w:r>
      <w:r w:rsidR="003E5008" w:rsidRPr="00927479">
        <w:rPr>
          <w:rFonts w:asciiTheme="minorHAnsi" w:hAnsiTheme="minorHAnsi" w:cs="Arial"/>
          <w:shd w:val="clear" w:color="auto" w:fill="FFFFFF"/>
        </w:rPr>
        <w:t xml:space="preserve"> </w:t>
      </w:r>
      <w:r w:rsidR="00360C81" w:rsidRPr="00927479">
        <w:rPr>
          <w:rFonts w:asciiTheme="minorHAnsi" w:hAnsiTheme="minorHAnsi" w:cs="Arial"/>
          <w:shd w:val="clear" w:color="auto" w:fill="FFFFFF"/>
        </w:rPr>
        <w:t>MRSA</w:t>
      </w:r>
      <w:r w:rsidR="00D24DC0" w:rsidRPr="00927479">
        <w:rPr>
          <w:rFonts w:asciiTheme="minorHAnsi" w:hAnsiTheme="minorHAnsi" w:cs="Arial"/>
          <w:shd w:val="clear" w:color="auto" w:fill="FFFFFF"/>
        </w:rPr>
        <w:t xml:space="preserve"> product. </w:t>
      </w:r>
      <w:r w:rsidR="003E5008" w:rsidRPr="00927479">
        <w:rPr>
          <w:rFonts w:asciiTheme="minorHAnsi" w:hAnsiTheme="minorHAnsi" w:cs="Arial"/>
          <w:shd w:val="clear" w:color="auto" w:fill="FFFFFF"/>
        </w:rPr>
        <w:t>As you are aware, t</w:t>
      </w:r>
      <w:r w:rsidRPr="00927479">
        <w:rPr>
          <w:rFonts w:asciiTheme="minorHAnsi" w:hAnsiTheme="minorHAnsi" w:cs="Arial"/>
        </w:rPr>
        <w:t>he COVID-19 pandemic has had an unprecedented effect on global health and our global economy. As a startup founder, we know you’re concerned on many fronts: concerned for the health of your families, and to the success of the company that you’ve worked so hard to contribute to.</w:t>
      </w:r>
    </w:p>
    <w:p w:rsidR="00D24DC0" w:rsidRPr="00927479" w:rsidRDefault="009C17A0" w:rsidP="009C17A0">
      <w:pPr>
        <w:pStyle w:val="NormalWeb"/>
        <w:shd w:val="clear" w:color="auto" w:fill="FFFFFF"/>
        <w:spacing w:before="0" w:beforeAutospacing="0"/>
        <w:rPr>
          <w:rFonts w:asciiTheme="minorHAnsi" w:hAnsiTheme="minorHAnsi" w:cs="Arial"/>
        </w:rPr>
      </w:pPr>
      <w:r w:rsidRPr="00927479">
        <w:rPr>
          <w:rFonts w:asciiTheme="minorHAnsi" w:hAnsiTheme="minorHAnsi" w:cs="Arial"/>
        </w:rPr>
        <w:t xml:space="preserve">We share your concerns deeply. </w:t>
      </w:r>
      <w:r w:rsidR="00D24DC0" w:rsidRPr="00927479">
        <w:rPr>
          <w:rFonts w:asciiTheme="minorHAnsi" w:hAnsiTheme="minorHAnsi" w:cs="Arial"/>
          <w:shd w:val="clear" w:color="auto" w:fill="FFFFFF"/>
        </w:rPr>
        <w:t>We were well on track to achieving all the short-term targets we had set out in our strategy, and luckily maintained a portion of our committed project efforts despite the pandemic.</w:t>
      </w:r>
      <w:r w:rsidRPr="00927479">
        <w:rPr>
          <w:rFonts w:asciiTheme="minorHAnsi" w:hAnsiTheme="minorHAnsi" w:cs="Arial"/>
        </w:rPr>
        <w:t xml:space="preserve"> </w:t>
      </w:r>
      <w:r w:rsidR="00D24DC0" w:rsidRPr="00927479">
        <w:rPr>
          <w:rFonts w:asciiTheme="minorHAnsi" w:hAnsiTheme="minorHAnsi" w:cs="Arial"/>
        </w:rPr>
        <w:t xml:space="preserve">As you may understand, the pandemic had placed a substantial burden on healthcare systems, as well as regulatory agencies. In fact, most of our work with the Food &amp; Drug Administration (FDA) was </w:t>
      </w:r>
      <w:r w:rsidR="003E5008" w:rsidRPr="00927479">
        <w:rPr>
          <w:rFonts w:asciiTheme="minorHAnsi" w:hAnsiTheme="minorHAnsi" w:cs="Arial"/>
        </w:rPr>
        <w:t>delayed</w:t>
      </w:r>
      <w:r w:rsidR="00D24DC0" w:rsidRPr="00927479">
        <w:rPr>
          <w:rFonts w:asciiTheme="minorHAnsi" w:hAnsiTheme="minorHAnsi" w:cs="Arial"/>
        </w:rPr>
        <w:t xml:space="preserve"> due to the FDA’s commitment to work with companies focused on the development of devices, vaccines, and products, related to COVID-19.</w:t>
      </w:r>
    </w:p>
    <w:p w:rsidR="00816C11" w:rsidRPr="00927479" w:rsidRDefault="00D24DC0" w:rsidP="009C17A0">
      <w:pPr>
        <w:pStyle w:val="NormalWeb"/>
        <w:shd w:val="clear" w:color="auto" w:fill="FFFFFF"/>
        <w:spacing w:before="0" w:beforeAutospacing="0"/>
        <w:rPr>
          <w:rFonts w:asciiTheme="minorHAnsi" w:hAnsiTheme="minorHAnsi" w:cs="Arial"/>
        </w:rPr>
      </w:pPr>
      <w:r w:rsidRPr="00927479">
        <w:rPr>
          <w:rFonts w:asciiTheme="minorHAnsi" w:hAnsiTheme="minorHAnsi" w:cs="Arial"/>
        </w:rPr>
        <w:t>From March,</w:t>
      </w:r>
      <w:r w:rsidR="003E5008" w:rsidRPr="00927479">
        <w:rPr>
          <w:rFonts w:asciiTheme="minorHAnsi" w:hAnsiTheme="minorHAnsi" w:cs="Arial"/>
        </w:rPr>
        <w:t xml:space="preserve"> 2020,</w:t>
      </w:r>
      <w:r w:rsidRPr="00927479">
        <w:rPr>
          <w:rFonts w:asciiTheme="minorHAnsi" w:hAnsiTheme="minorHAnsi" w:cs="Arial"/>
        </w:rPr>
        <w:t xml:space="preserve"> through the end of December, 2020, each and every vendor in the medical device space had only one focus, this being a full-force</w:t>
      </w:r>
      <w:r w:rsidR="003E5008" w:rsidRPr="00927479">
        <w:rPr>
          <w:rFonts w:asciiTheme="minorHAnsi" w:hAnsiTheme="minorHAnsi" w:cs="Arial"/>
        </w:rPr>
        <w:t>, all hands-on-</w:t>
      </w:r>
      <w:r w:rsidRPr="00927479">
        <w:rPr>
          <w:rFonts w:asciiTheme="minorHAnsi" w:hAnsiTheme="minorHAnsi" w:cs="Arial"/>
        </w:rPr>
        <w:t xml:space="preserve">deck movement in the creation of COVID-19 </w:t>
      </w:r>
      <w:r w:rsidR="003E5008" w:rsidRPr="00927479">
        <w:rPr>
          <w:rFonts w:asciiTheme="minorHAnsi" w:hAnsiTheme="minorHAnsi" w:cs="Arial"/>
        </w:rPr>
        <w:t>testing</w:t>
      </w:r>
      <w:r w:rsidRPr="00927479">
        <w:rPr>
          <w:rFonts w:asciiTheme="minorHAnsi" w:hAnsiTheme="minorHAnsi" w:cs="Arial"/>
        </w:rPr>
        <w:t xml:space="preserve"> devices. Every single lateral flow test strip manufacturer was only taking on new pr</w:t>
      </w:r>
      <w:r w:rsidR="003E5008" w:rsidRPr="00927479">
        <w:rPr>
          <w:rFonts w:asciiTheme="minorHAnsi" w:hAnsiTheme="minorHAnsi" w:cs="Arial"/>
        </w:rPr>
        <w:t>ojects that related to COVID-1</w:t>
      </w:r>
      <w:r w:rsidRPr="00927479">
        <w:rPr>
          <w:rFonts w:asciiTheme="minorHAnsi" w:hAnsiTheme="minorHAnsi" w:cs="Arial"/>
        </w:rPr>
        <w:t xml:space="preserve">. Furthermore, all product suppliers of raw materials also jumped into the same band wagon, making their priority </w:t>
      </w:r>
      <w:r w:rsidR="00816C11" w:rsidRPr="00927479">
        <w:rPr>
          <w:rFonts w:asciiTheme="minorHAnsi" w:hAnsiTheme="minorHAnsi" w:cs="Arial"/>
        </w:rPr>
        <w:t>– pandemic centric.</w:t>
      </w:r>
    </w:p>
    <w:p w:rsidR="005716BE" w:rsidRPr="00927479" w:rsidRDefault="00A13AB5" w:rsidP="009C17A0">
      <w:pPr>
        <w:pStyle w:val="NormalWeb"/>
        <w:shd w:val="clear" w:color="auto" w:fill="FFFFFF"/>
        <w:spacing w:before="0" w:beforeAutospacing="0"/>
        <w:rPr>
          <w:rFonts w:asciiTheme="minorHAnsi" w:hAnsiTheme="minorHAnsi" w:cs="Arial"/>
        </w:rPr>
      </w:pPr>
      <w:r w:rsidRPr="00927479">
        <w:rPr>
          <w:rFonts w:asciiTheme="minorHAnsi" w:hAnsiTheme="minorHAnsi" w:cs="Arial"/>
        </w:rPr>
        <w:t xml:space="preserve">The global pandemic also allowed for us to establish many new contacts within the medical device industry, as well as within the FDA. We collaborated with a company from Sweden, who was one of the first to offer a COVID-19 Rapid Antibody test. The company needed a way into the American Market, and they had been in the process of working for Emergency Use Authorization with the FDA. We offered to place the product on our website, which would in turn be a form of “free advertising </w:t>
      </w:r>
      <w:r w:rsidR="005716BE" w:rsidRPr="00927479">
        <w:rPr>
          <w:rFonts w:asciiTheme="minorHAnsi" w:hAnsiTheme="minorHAnsi" w:cs="Arial"/>
        </w:rPr>
        <w:t>“for</w:t>
      </w:r>
      <w:r w:rsidRPr="00927479">
        <w:rPr>
          <w:rFonts w:asciiTheme="minorHAnsi" w:hAnsiTheme="minorHAnsi" w:cs="Arial"/>
        </w:rPr>
        <w:t xml:space="preserve"> Invenio Medical, Inc., all while gaining more attention from FDA. </w:t>
      </w:r>
      <w:r w:rsidR="005716BE" w:rsidRPr="00927479">
        <w:rPr>
          <w:rFonts w:asciiTheme="minorHAnsi" w:hAnsiTheme="minorHAnsi" w:cs="Arial"/>
        </w:rPr>
        <w:t>As you may understand, gaining credibility with the FDA is critical, especially when trying to promote other technologies.</w:t>
      </w:r>
    </w:p>
    <w:p w:rsidR="00816C11" w:rsidRPr="00927479" w:rsidRDefault="00360C81" w:rsidP="009C17A0">
      <w:pPr>
        <w:pStyle w:val="NormalWeb"/>
        <w:shd w:val="clear" w:color="auto" w:fill="FFFFFF"/>
        <w:spacing w:before="0" w:beforeAutospacing="0"/>
        <w:rPr>
          <w:rFonts w:asciiTheme="minorHAnsi" w:hAnsiTheme="minorHAnsi" w:cs="Arial"/>
        </w:rPr>
      </w:pPr>
      <w:r w:rsidRPr="00927479">
        <w:rPr>
          <w:rFonts w:asciiTheme="minorHAnsi" w:hAnsiTheme="minorHAnsi" w:cs="Arial"/>
        </w:rPr>
        <w:t xml:space="preserve">For </w:t>
      </w:r>
      <w:r w:rsidR="005716BE" w:rsidRPr="00927479">
        <w:rPr>
          <w:rFonts w:asciiTheme="minorHAnsi" w:hAnsiTheme="minorHAnsi" w:cs="Arial"/>
        </w:rPr>
        <w:t xml:space="preserve">the next </w:t>
      </w:r>
      <w:r w:rsidRPr="00927479">
        <w:rPr>
          <w:rFonts w:asciiTheme="minorHAnsi" w:hAnsiTheme="minorHAnsi" w:cs="Arial"/>
        </w:rPr>
        <w:t>3</w:t>
      </w:r>
      <w:r w:rsidR="00816C11" w:rsidRPr="00927479">
        <w:rPr>
          <w:rFonts w:asciiTheme="minorHAnsi" w:hAnsiTheme="minorHAnsi" w:cs="Arial"/>
        </w:rPr>
        <w:t xml:space="preserve"> months, we couldn’t even obtain</w:t>
      </w:r>
      <w:r w:rsidR="003E5008" w:rsidRPr="00927479">
        <w:rPr>
          <w:rFonts w:asciiTheme="minorHAnsi" w:hAnsiTheme="minorHAnsi" w:cs="Arial"/>
        </w:rPr>
        <w:t xml:space="preserve"> a single</w:t>
      </w:r>
      <w:r w:rsidR="00816C11" w:rsidRPr="00927479">
        <w:rPr>
          <w:rFonts w:asciiTheme="minorHAnsi" w:hAnsiTheme="minorHAnsi" w:cs="Arial"/>
        </w:rPr>
        <w:t xml:space="preserve"> nasal swab, as each manufacturer was producing swabs only to supply backorders for COVID-19 testing. Even the raw materials for lateral-flow-test-strips, including nitrocellulose paper, as well as the buffer/lysing agent was practically impossible to purchase</w:t>
      </w:r>
      <w:r w:rsidRPr="00927479">
        <w:rPr>
          <w:rFonts w:asciiTheme="minorHAnsi" w:hAnsiTheme="minorHAnsi" w:cs="Arial"/>
        </w:rPr>
        <w:t xml:space="preserve"> unless </w:t>
      </w:r>
      <w:r w:rsidR="003E5008" w:rsidRPr="00927479">
        <w:rPr>
          <w:rFonts w:asciiTheme="minorHAnsi" w:hAnsiTheme="minorHAnsi" w:cs="Arial"/>
        </w:rPr>
        <w:t xml:space="preserve">the request was made by a </w:t>
      </w:r>
      <w:r w:rsidRPr="00927479">
        <w:rPr>
          <w:rFonts w:asciiTheme="minorHAnsi" w:hAnsiTheme="minorHAnsi" w:cs="Arial"/>
        </w:rPr>
        <w:t>large manufacturer</w:t>
      </w:r>
      <w:r w:rsidR="00816C11" w:rsidRPr="00927479">
        <w:rPr>
          <w:rFonts w:asciiTheme="minorHAnsi" w:hAnsiTheme="minorHAnsi" w:cs="Arial"/>
        </w:rPr>
        <w:t>. Buffer solutions were being created primarily for laboratory testing equipment, predominantly for PCR testing platforms, and limited to any other company that was not focused on COVID-19 only.</w:t>
      </w:r>
      <w:r w:rsidR="00D24DC0" w:rsidRPr="00927479">
        <w:rPr>
          <w:rFonts w:asciiTheme="minorHAnsi" w:hAnsiTheme="minorHAnsi" w:cs="Arial"/>
        </w:rPr>
        <w:t xml:space="preserve"> </w:t>
      </w:r>
    </w:p>
    <w:p w:rsidR="00A13AB5" w:rsidRPr="00927479" w:rsidRDefault="00A13AB5" w:rsidP="009C17A0">
      <w:pPr>
        <w:pStyle w:val="NormalWeb"/>
        <w:shd w:val="clear" w:color="auto" w:fill="FFFFFF"/>
        <w:spacing w:before="0" w:beforeAutospacing="0"/>
        <w:rPr>
          <w:rFonts w:asciiTheme="minorHAnsi" w:hAnsiTheme="minorHAnsi" w:cs="Arial"/>
        </w:rPr>
      </w:pPr>
    </w:p>
    <w:p w:rsidR="00816C11" w:rsidRPr="00927479" w:rsidRDefault="00816C11" w:rsidP="009C17A0">
      <w:pPr>
        <w:pStyle w:val="NormalWeb"/>
        <w:shd w:val="clear" w:color="auto" w:fill="FFFFFF"/>
        <w:spacing w:before="0" w:beforeAutospacing="0"/>
        <w:rPr>
          <w:rFonts w:asciiTheme="minorHAnsi" w:hAnsiTheme="minorHAnsi" w:cs="Arial"/>
        </w:rPr>
      </w:pPr>
      <w:r w:rsidRPr="00927479">
        <w:rPr>
          <w:rFonts w:asciiTheme="minorHAnsi" w:hAnsiTheme="minorHAnsi" w:cs="Arial"/>
        </w:rPr>
        <w:lastRenderedPageBreak/>
        <w:t xml:space="preserve">Nonetheless, with the obstacles encountered by the pandemic, we did actually accomplish other milestones that were of significant importance, as well as </w:t>
      </w:r>
      <w:r w:rsidR="003E5008" w:rsidRPr="00927479">
        <w:rPr>
          <w:rFonts w:asciiTheme="minorHAnsi" w:hAnsiTheme="minorHAnsi" w:cs="Arial"/>
        </w:rPr>
        <w:t xml:space="preserve">vital in the satisfaction process for our FDA documentation. </w:t>
      </w:r>
      <w:r w:rsidRPr="00927479">
        <w:rPr>
          <w:rFonts w:asciiTheme="minorHAnsi" w:hAnsiTheme="minorHAnsi" w:cs="Arial"/>
        </w:rPr>
        <w:t xml:space="preserve">Below </w:t>
      </w:r>
      <w:r w:rsidR="00E15694" w:rsidRPr="00927479">
        <w:rPr>
          <w:rFonts w:asciiTheme="minorHAnsi" w:hAnsiTheme="minorHAnsi" w:cs="Arial"/>
        </w:rPr>
        <w:t>is a list</w:t>
      </w:r>
      <w:r w:rsidRPr="00927479">
        <w:rPr>
          <w:rFonts w:asciiTheme="minorHAnsi" w:hAnsiTheme="minorHAnsi" w:cs="Arial"/>
        </w:rPr>
        <w:t xml:space="preserve"> of some of our accomplishments</w:t>
      </w:r>
      <w:r w:rsidR="00E15694" w:rsidRPr="00927479">
        <w:rPr>
          <w:rFonts w:asciiTheme="minorHAnsi" w:hAnsiTheme="minorHAnsi" w:cs="Arial"/>
        </w:rPr>
        <w:t xml:space="preserve"> from</w:t>
      </w:r>
      <w:r w:rsidR="00FB1967" w:rsidRPr="00927479">
        <w:rPr>
          <w:rFonts w:asciiTheme="minorHAnsi" w:hAnsiTheme="minorHAnsi" w:cs="Arial"/>
        </w:rPr>
        <w:tab/>
      </w:r>
      <w:r w:rsidRPr="00927479">
        <w:rPr>
          <w:rFonts w:asciiTheme="minorHAnsi" w:hAnsiTheme="minorHAnsi" w:cs="Arial"/>
        </w:rPr>
        <w:t xml:space="preserve"> 2020.</w:t>
      </w:r>
    </w:p>
    <w:p w:rsidR="00816C11" w:rsidRPr="00927479" w:rsidRDefault="00816C11" w:rsidP="00816C11">
      <w:pPr>
        <w:pStyle w:val="NormalWeb"/>
        <w:numPr>
          <w:ilvl w:val="0"/>
          <w:numId w:val="3"/>
        </w:numPr>
        <w:shd w:val="clear" w:color="auto" w:fill="FFFFFF"/>
        <w:spacing w:before="0" w:beforeAutospacing="0"/>
        <w:rPr>
          <w:rFonts w:asciiTheme="minorHAnsi" w:hAnsiTheme="minorHAnsi" w:cs="Arial"/>
        </w:rPr>
      </w:pPr>
      <w:r w:rsidRPr="00927479">
        <w:rPr>
          <w:rFonts w:asciiTheme="minorHAnsi" w:hAnsiTheme="minorHAnsi" w:cs="Arial"/>
        </w:rPr>
        <w:t>Lateral-flow-test strip tube/holder</w:t>
      </w:r>
    </w:p>
    <w:p w:rsidR="00816C11" w:rsidRPr="00927479" w:rsidRDefault="00816C11" w:rsidP="00816C11">
      <w:pPr>
        <w:pStyle w:val="NormalWeb"/>
        <w:shd w:val="clear" w:color="auto" w:fill="FFFFFF"/>
        <w:spacing w:before="0" w:beforeAutospacing="0"/>
        <w:ind w:left="720"/>
        <w:rPr>
          <w:rFonts w:asciiTheme="minorHAnsi" w:hAnsiTheme="minorHAnsi" w:cs="Arial"/>
        </w:rPr>
      </w:pPr>
      <w:r w:rsidRPr="00927479">
        <w:rPr>
          <w:rFonts w:asciiTheme="minorHAnsi" w:hAnsiTheme="minorHAnsi" w:cs="Arial"/>
        </w:rPr>
        <w:t xml:space="preserve">Our initial concerns involved the optical clarity of the </w:t>
      </w:r>
      <w:r w:rsidR="00E15694" w:rsidRPr="00927479">
        <w:rPr>
          <w:rFonts w:asciiTheme="minorHAnsi" w:hAnsiTheme="minorHAnsi" w:cs="Arial"/>
          <w:shd w:val="clear" w:color="auto" w:fill="FFFFFF"/>
        </w:rPr>
        <w:t>AptaSure</w:t>
      </w:r>
      <w:r w:rsidR="00E15694" w:rsidRPr="00927479">
        <w:rPr>
          <w:rFonts w:asciiTheme="minorHAnsi" w:hAnsiTheme="minorHAnsi" w:cs="Arial"/>
          <w:shd w:val="clear" w:color="auto" w:fill="FFFFFF"/>
          <w:vertAlign w:val="superscript"/>
        </w:rPr>
        <w:t>™</w:t>
      </w:r>
      <w:r w:rsidR="00E15694" w:rsidRPr="00927479">
        <w:rPr>
          <w:rFonts w:asciiTheme="minorHAnsi" w:hAnsiTheme="minorHAnsi" w:cs="Arial"/>
          <w:shd w:val="clear" w:color="auto" w:fill="FFFFFF"/>
        </w:rPr>
        <w:t xml:space="preserve"> tube</w:t>
      </w:r>
      <w:r w:rsidRPr="00927479">
        <w:rPr>
          <w:rFonts w:asciiTheme="minorHAnsi" w:hAnsiTheme="minorHAnsi" w:cs="Arial"/>
        </w:rPr>
        <w:t xml:space="preserve">. As a reminder, we would need to ensure that the tube would allow for </w:t>
      </w:r>
      <w:r w:rsidR="0005121B" w:rsidRPr="00927479">
        <w:rPr>
          <w:rFonts w:asciiTheme="minorHAnsi" w:hAnsiTheme="minorHAnsi" w:cs="Arial"/>
        </w:rPr>
        <w:t xml:space="preserve">an accurate visual read of the test and control lines on the test strip. </w:t>
      </w:r>
    </w:p>
    <w:p w:rsidR="0005121B" w:rsidRPr="00927479" w:rsidRDefault="0005121B" w:rsidP="00816C11">
      <w:pPr>
        <w:pStyle w:val="NormalWeb"/>
        <w:shd w:val="clear" w:color="auto" w:fill="FFFFFF"/>
        <w:spacing w:before="0" w:beforeAutospacing="0"/>
        <w:ind w:left="720"/>
        <w:rPr>
          <w:rFonts w:asciiTheme="minorHAnsi" w:hAnsiTheme="minorHAnsi" w:cs="Arial"/>
        </w:rPr>
      </w:pPr>
      <w:r w:rsidRPr="00927479">
        <w:rPr>
          <w:rFonts w:asciiTheme="minorHAnsi" w:hAnsiTheme="minorHAnsi" w:cs="Arial"/>
        </w:rPr>
        <w:t>Due to the initial opaque plastic tubing material, we had concern over missed-reads, or false negatives due to the end-user not being able to clearly visualize the line. This concern made us deliberate on whether or not we would need to create a “reader” device, which would allow for us to eliminate this risk of improper reading.</w:t>
      </w:r>
    </w:p>
    <w:p w:rsidR="0005121B" w:rsidRPr="00927479" w:rsidRDefault="0005121B" w:rsidP="00816C11">
      <w:pPr>
        <w:pStyle w:val="NormalWeb"/>
        <w:shd w:val="clear" w:color="auto" w:fill="FFFFFF"/>
        <w:spacing w:before="0" w:beforeAutospacing="0"/>
        <w:ind w:left="720"/>
        <w:rPr>
          <w:rFonts w:asciiTheme="minorHAnsi" w:hAnsiTheme="minorHAnsi" w:cs="Arial"/>
        </w:rPr>
      </w:pPr>
      <w:r w:rsidRPr="00927479">
        <w:rPr>
          <w:rFonts w:asciiTheme="minorHAnsi" w:hAnsiTheme="minorHAnsi" w:cs="Arial"/>
        </w:rPr>
        <w:t>However, with numerous variations of plastic injection formulations, we reached a success in having a</w:t>
      </w:r>
      <w:r w:rsidR="00360C81" w:rsidRPr="00927479">
        <w:rPr>
          <w:rFonts w:asciiTheme="minorHAnsi" w:hAnsiTheme="minorHAnsi" w:cs="Arial"/>
        </w:rPr>
        <w:t xml:space="preserve">chieved an </w:t>
      </w:r>
      <w:r w:rsidRPr="00927479">
        <w:rPr>
          <w:rFonts w:asciiTheme="minorHAnsi" w:hAnsiTheme="minorHAnsi" w:cs="Arial"/>
        </w:rPr>
        <w:t xml:space="preserve">optically clear tube made. </w:t>
      </w:r>
      <w:r w:rsidR="003E5008" w:rsidRPr="00927479">
        <w:rPr>
          <w:rFonts w:asciiTheme="minorHAnsi" w:hAnsiTheme="minorHAnsi" w:cs="Arial"/>
        </w:rPr>
        <w:t>This was a very big</w:t>
      </w:r>
      <w:r w:rsidRPr="00927479">
        <w:rPr>
          <w:rFonts w:asciiTheme="minorHAnsi" w:hAnsiTheme="minorHAnsi" w:cs="Arial"/>
        </w:rPr>
        <w:t xml:space="preserve"> success</w:t>
      </w:r>
      <w:r w:rsidR="003E5008" w:rsidRPr="00927479">
        <w:rPr>
          <w:rFonts w:asciiTheme="minorHAnsi" w:hAnsiTheme="minorHAnsi" w:cs="Arial"/>
        </w:rPr>
        <w:t>, one which could have been very costly should this not have worked in our favor.</w:t>
      </w:r>
    </w:p>
    <w:p w:rsidR="00535271" w:rsidRPr="00927479" w:rsidRDefault="003E5008" w:rsidP="00535271">
      <w:pPr>
        <w:pStyle w:val="NormalWeb"/>
        <w:numPr>
          <w:ilvl w:val="0"/>
          <w:numId w:val="3"/>
        </w:numPr>
        <w:shd w:val="clear" w:color="auto" w:fill="FFFFFF"/>
        <w:spacing w:before="0" w:beforeAutospacing="0"/>
        <w:rPr>
          <w:rFonts w:asciiTheme="minorHAnsi" w:hAnsiTheme="minorHAnsi" w:cs="Arial"/>
        </w:rPr>
      </w:pPr>
      <w:r w:rsidRPr="00927479">
        <w:rPr>
          <w:rFonts w:asciiTheme="minorHAnsi" w:hAnsiTheme="minorHAnsi" w:cs="Arial"/>
        </w:rPr>
        <w:t>W</w:t>
      </w:r>
      <w:r w:rsidR="0005121B" w:rsidRPr="00927479">
        <w:rPr>
          <w:rFonts w:asciiTheme="minorHAnsi" w:hAnsiTheme="minorHAnsi" w:cs="Arial"/>
        </w:rPr>
        <w:t xml:space="preserve">e were able to concentrate our efforts on additional required testing requirements </w:t>
      </w:r>
      <w:r w:rsidRPr="00927479">
        <w:rPr>
          <w:rFonts w:asciiTheme="minorHAnsi" w:hAnsiTheme="minorHAnsi" w:cs="Arial"/>
        </w:rPr>
        <w:t xml:space="preserve">as defined by the </w:t>
      </w:r>
      <w:r w:rsidR="0005121B" w:rsidRPr="00927479">
        <w:rPr>
          <w:rFonts w:asciiTheme="minorHAnsi" w:hAnsiTheme="minorHAnsi" w:cs="Arial"/>
        </w:rPr>
        <w:t xml:space="preserve">FDA. This included </w:t>
      </w:r>
      <w:r w:rsidRPr="00927479">
        <w:rPr>
          <w:rFonts w:asciiTheme="minorHAnsi" w:hAnsiTheme="minorHAnsi" w:cs="Arial"/>
        </w:rPr>
        <w:t xml:space="preserve">the </w:t>
      </w:r>
      <w:r w:rsidR="0005121B" w:rsidRPr="00927479">
        <w:rPr>
          <w:rFonts w:asciiTheme="minorHAnsi" w:hAnsiTheme="minorHAnsi" w:cs="Arial"/>
        </w:rPr>
        <w:t xml:space="preserve">additional need to conduct </w:t>
      </w:r>
      <w:r w:rsidRPr="00927479">
        <w:rPr>
          <w:rFonts w:asciiTheme="minorHAnsi" w:hAnsiTheme="minorHAnsi" w:cs="Arial"/>
        </w:rPr>
        <w:t>“</w:t>
      </w:r>
      <w:r w:rsidR="0005121B" w:rsidRPr="00927479">
        <w:rPr>
          <w:rFonts w:asciiTheme="minorHAnsi" w:hAnsiTheme="minorHAnsi" w:cs="Arial"/>
        </w:rPr>
        <w:t>interference testing.</w:t>
      </w:r>
      <w:r w:rsidRPr="00927479">
        <w:rPr>
          <w:rFonts w:asciiTheme="minorHAnsi" w:hAnsiTheme="minorHAnsi" w:cs="Arial"/>
        </w:rPr>
        <w:t xml:space="preserve">” </w:t>
      </w:r>
      <w:r w:rsidR="0005121B" w:rsidRPr="00927479">
        <w:rPr>
          <w:rFonts w:asciiTheme="minorHAnsi" w:hAnsiTheme="minorHAnsi" w:cs="Arial"/>
        </w:rPr>
        <w:t xml:space="preserve"> In other words, challenging our test by subjecting </w:t>
      </w:r>
      <w:r w:rsidRPr="00927479">
        <w:rPr>
          <w:rFonts w:asciiTheme="minorHAnsi" w:hAnsiTheme="minorHAnsi" w:cs="Arial"/>
        </w:rPr>
        <w:t>it to various competing strains of viruses, bacteria, as well as chemical substances.</w:t>
      </w:r>
      <w:r w:rsidR="00535271" w:rsidRPr="00927479">
        <w:rPr>
          <w:rFonts w:asciiTheme="minorHAnsi" w:hAnsiTheme="minorHAnsi" w:cs="Arial"/>
        </w:rPr>
        <w:t xml:space="preserve"> This testing alone has taken 5 continuous months of sample preparation, dilution, and confirmatory PCR testing. We are very fortunate to report that we had no interference with our MRSA test, when subjected to various interfering substances and pathogens.</w:t>
      </w:r>
    </w:p>
    <w:p w:rsidR="00535271" w:rsidRPr="00927479" w:rsidRDefault="00535271" w:rsidP="00535271">
      <w:pPr>
        <w:pStyle w:val="NormalWeb"/>
        <w:shd w:val="clear" w:color="auto" w:fill="FFFFFF"/>
        <w:spacing w:before="0" w:beforeAutospacing="0"/>
        <w:rPr>
          <w:rFonts w:asciiTheme="minorHAnsi" w:hAnsiTheme="minorHAnsi" w:cs="Arial"/>
        </w:rPr>
      </w:pPr>
    </w:p>
    <w:p w:rsidR="00535271" w:rsidRPr="00927479" w:rsidRDefault="00535271" w:rsidP="00535271">
      <w:pPr>
        <w:pStyle w:val="NormalWeb"/>
        <w:shd w:val="clear" w:color="auto" w:fill="FFFFFF"/>
        <w:spacing w:before="0" w:beforeAutospacing="0"/>
        <w:rPr>
          <w:rFonts w:asciiTheme="minorHAnsi" w:hAnsiTheme="minorHAnsi" w:cs="Arial"/>
        </w:rPr>
      </w:pPr>
      <w:r w:rsidRPr="00927479">
        <w:rPr>
          <w:rFonts w:asciiTheme="minorHAnsi" w:hAnsiTheme="minorHAnsi" w:cs="Arial"/>
        </w:rPr>
        <w:t>This vital study information is provided herein:</w:t>
      </w:r>
    </w:p>
    <w:p w:rsidR="005716BE" w:rsidRPr="00927479" w:rsidRDefault="005716BE" w:rsidP="005716BE">
      <w:pPr>
        <w:pStyle w:val="NormalWeb"/>
        <w:shd w:val="clear" w:color="auto" w:fill="FFFFFF"/>
        <w:spacing w:before="0" w:beforeAutospacing="0"/>
        <w:ind w:left="720"/>
        <w:rPr>
          <w:rFonts w:asciiTheme="minorHAnsi" w:hAnsiTheme="minorHAnsi" w:cs="Arial"/>
        </w:rPr>
      </w:pPr>
    </w:p>
    <w:p w:rsidR="005716BE" w:rsidRPr="00927479" w:rsidRDefault="005716BE" w:rsidP="00535271">
      <w:pPr>
        <w:pStyle w:val="NormalWeb"/>
        <w:shd w:val="clear" w:color="auto" w:fill="FFFFFF"/>
        <w:spacing w:before="0" w:beforeAutospacing="0"/>
        <w:ind w:left="720"/>
        <w:jc w:val="center"/>
        <w:rPr>
          <w:rFonts w:asciiTheme="minorHAnsi" w:hAnsiTheme="minorHAnsi" w:cs="Arial"/>
        </w:rPr>
      </w:pPr>
      <w:r w:rsidRPr="00927479">
        <w:rPr>
          <w:rFonts w:asciiTheme="minorHAnsi" w:hAnsiTheme="minorHAnsi"/>
          <w:noProof/>
        </w:rPr>
        <w:lastRenderedPageBreak/>
        <w:drawing>
          <wp:inline distT="0" distB="0" distL="0" distR="0" wp14:anchorId="519A1824" wp14:editId="1F9CF545">
            <wp:extent cx="5570662" cy="6709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66652" cy="6704961"/>
                    </a:xfrm>
                    <a:prstGeom prst="rect">
                      <a:avLst/>
                    </a:prstGeom>
                  </pic:spPr>
                </pic:pic>
              </a:graphicData>
            </a:graphic>
          </wp:inline>
        </w:drawing>
      </w:r>
    </w:p>
    <w:p w:rsidR="00535271" w:rsidRPr="00927479" w:rsidRDefault="00535271" w:rsidP="00535271">
      <w:pPr>
        <w:pStyle w:val="NormalWeb"/>
        <w:shd w:val="clear" w:color="auto" w:fill="FFFFFF"/>
        <w:spacing w:before="0" w:beforeAutospacing="0"/>
        <w:ind w:left="720"/>
        <w:jc w:val="center"/>
        <w:rPr>
          <w:rFonts w:asciiTheme="minorHAnsi" w:hAnsiTheme="minorHAnsi" w:cs="Arial"/>
        </w:rPr>
      </w:pPr>
    </w:p>
    <w:tbl>
      <w:tblPr>
        <w:tblW w:w="10185" w:type="dxa"/>
        <w:tblInd w:w="93" w:type="dxa"/>
        <w:tblLook w:val="04A0" w:firstRow="1" w:lastRow="0" w:firstColumn="1" w:lastColumn="0" w:noHBand="0" w:noVBand="1"/>
      </w:tblPr>
      <w:tblGrid>
        <w:gridCol w:w="2026"/>
        <w:gridCol w:w="2390"/>
        <w:gridCol w:w="1437"/>
        <w:gridCol w:w="2165"/>
        <w:gridCol w:w="1050"/>
        <w:gridCol w:w="1117"/>
      </w:tblGrid>
      <w:tr w:rsidR="005716BE" w:rsidRPr="00927479" w:rsidTr="00535271">
        <w:trPr>
          <w:trHeight w:val="495"/>
        </w:trPr>
        <w:tc>
          <w:tcPr>
            <w:tcW w:w="4416" w:type="dxa"/>
            <w:gridSpan w:val="2"/>
            <w:tcBorders>
              <w:top w:val="single" w:sz="8" w:space="0" w:color="auto"/>
              <w:left w:val="single" w:sz="8" w:space="0" w:color="auto"/>
              <w:bottom w:val="single" w:sz="8" w:space="0" w:color="auto"/>
              <w:right w:val="single" w:sz="8" w:space="0" w:color="000000"/>
            </w:tcBorders>
            <w:shd w:val="clear" w:color="000000" w:fill="CDF2FF"/>
            <w:vAlign w:val="center"/>
            <w:hideMark/>
          </w:tcPr>
          <w:p w:rsidR="005716BE" w:rsidRPr="00927479" w:rsidRDefault="005716BE" w:rsidP="005716BE">
            <w:pPr>
              <w:widowControl/>
              <w:autoSpaceDE/>
              <w:autoSpaceDN/>
              <w:jc w:val="center"/>
              <w:rPr>
                <w:rFonts w:asciiTheme="minorHAnsi" w:eastAsia="Times New Roman" w:hAnsiTheme="minorHAnsi"/>
                <w:b/>
                <w:bCs/>
                <w:sz w:val="18"/>
                <w:szCs w:val="18"/>
                <w:lang w:bidi="ar-SA"/>
              </w:rPr>
            </w:pPr>
            <w:r w:rsidRPr="00927479">
              <w:rPr>
                <w:rFonts w:asciiTheme="minorHAnsi" w:eastAsia="Times New Roman" w:hAnsiTheme="minorHAnsi"/>
                <w:b/>
                <w:bCs/>
                <w:sz w:val="18"/>
                <w:szCs w:val="18"/>
                <w:lang w:bidi="ar-SA"/>
              </w:rPr>
              <w:t>Sample</w:t>
            </w:r>
          </w:p>
        </w:tc>
        <w:tc>
          <w:tcPr>
            <w:tcW w:w="1437" w:type="dxa"/>
            <w:tcBorders>
              <w:top w:val="single" w:sz="8" w:space="0" w:color="auto"/>
              <w:left w:val="nil"/>
              <w:bottom w:val="single" w:sz="8" w:space="0" w:color="auto"/>
              <w:right w:val="single" w:sz="8" w:space="0" w:color="auto"/>
            </w:tcBorders>
            <w:shd w:val="clear" w:color="000000" w:fill="CDF2FF"/>
            <w:vAlign w:val="center"/>
            <w:hideMark/>
          </w:tcPr>
          <w:p w:rsidR="005716BE" w:rsidRPr="00927479" w:rsidRDefault="005716BE" w:rsidP="005716BE">
            <w:pPr>
              <w:widowControl/>
              <w:autoSpaceDE/>
              <w:autoSpaceDN/>
              <w:jc w:val="center"/>
              <w:rPr>
                <w:rFonts w:asciiTheme="minorHAnsi" w:eastAsia="Times New Roman" w:hAnsiTheme="minorHAnsi"/>
                <w:b/>
                <w:bCs/>
                <w:sz w:val="18"/>
                <w:szCs w:val="18"/>
                <w:lang w:bidi="ar-SA"/>
              </w:rPr>
            </w:pPr>
            <w:r w:rsidRPr="00927479">
              <w:rPr>
                <w:rFonts w:asciiTheme="minorHAnsi" w:eastAsia="Times New Roman" w:hAnsiTheme="minorHAnsi"/>
                <w:b/>
                <w:bCs/>
                <w:sz w:val="18"/>
                <w:szCs w:val="18"/>
                <w:lang w:bidi="ar-SA"/>
              </w:rPr>
              <w:t>Strain</w:t>
            </w:r>
          </w:p>
        </w:tc>
        <w:tc>
          <w:tcPr>
            <w:tcW w:w="2165" w:type="dxa"/>
            <w:tcBorders>
              <w:top w:val="single" w:sz="8" w:space="0" w:color="auto"/>
              <w:left w:val="nil"/>
              <w:bottom w:val="single" w:sz="8" w:space="0" w:color="auto"/>
              <w:right w:val="single" w:sz="8" w:space="0" w:color="auto"/>
            </w:tcBorders>
            <w:shd w:val="clear" w:color="000000" w:fill="CDF2FF"/>
            <w:vAlign w:val="center"/>
            <w:hideMark/>
          </w:tcPr>
          <w:p w:rsidR="005716BE" w:rsidRPr="00927479" w:rsidRDefault="00535271" w:rsidP="005716BE">
            <w:pPr>
              <w:widowControl/>
              <w:autoSpaceDE/>
              <w:autoSpaceDN/>
              <w:jc w:val="center"/>
              <w:rPr>
                <w:rFonts w:asciiTheme="minorHAnsi" w:eastAsia="Times New Roman" w:hAnsiTheme="minorHAnsi"/>
                <w:b/>
                <w:bCs/>
                <w:sz w:val="18"/>
                <w:szCs w:val="18"/>
                <w:lang w:bidi="ar-SA"/>
              </w:rPr>
            </w:pPr>
            <w:r w:rsidRPr="00927479">
              <w:rPr>
                <w:rFonts w:asciiTheme="minorHAnsi" w:eastAsia="Times New Roman" w:hAnsiTheme="minorHAnsi"/>
                <w:b/>
                <w:bCs/>
                <w:sz w:val="18"/>
                <w:szCs w:val="18"/>
                <w:lang w:bidi="ar-SA"/>
              </w:rPr>
              <w:t>Source / Specimen</w:t>
            </w:r>
            <w:r w:rsidR="005716BE" w:rsidRPr="00927479">
              <w:rPr>
                <w:rFonts w:asciiTheme="minorHAnsi" w:eastAsia="Times New Roman" w:hAnsiTheme="minorHAnsi"/>
                <w:b/>
                <w:bCs/>
                <w:sz w:val="18"/>
                <w:szCs w:val="18"/>
                <w:lang w:bidi="ar-SA"/>
              </w:rPr>
              <w:t>Type</w:t>
            </w:r>
          </w:p>
        </w:tc>
        <w:tc>
          <w:tcPr>
            <w:tcW w:w="1050" w:type="dxa"/>
            <w:tcBorders>
              <w:top w:val="single" w:sz="8" w:space="0" w:color="auto"/>
              <w:left w:val="nil"/>
              <w:bottom w:val="single" w:sz="8" w:space="0" w:color="auto"/>
              <w:right w:val="single" w:sz="8" w:space="0" w:color="auto"/>
            </w:tcBorders>
            <w:shd w:val="clear" w:color="000000" w:fill="CDF2FF"/>
            <w:vAlign w:val="center"/>
            <w:hideMark/>
          </w:tcPr>
          <w:p w:rsidR="005716BE" w:rsidRPr="00927479" w:rsidRDefault="005716BE" w:rsidP="005716BE">
            <w:pPr>
              <w:widowControl/>
              <w:autoSpaceDE/>
              <w:autoSpaceDN/>
              <w:jc w:val="center"/>
              <w:rPr>
                <w:rFonts w:asciiTheme="minorHAnsi" w:eastAsia="Times New Roman" w:hAnsiTheme="minorHAnsi"/>
                <w:b/>
                <w:bCs/>
                <w:sz w:val="18"/>
                <w:szCs w:val="18"/>
                <w:lang w:bidi="ar-SA"/>
              </w:rPr>
            </w:pPr>
            <w:r w:rsidRPr="00927479">
              <w:rPr>
                <w:rFonts w:asciiTheme="minorHAnsi" w:eastAsia="Times New Roman" w:hAnsiTheme="minorHAnsi"/>
                <w:b/>
                <w:bCs/>
                <w:sz w:val="18"/>
                <w:szCs w:val="18"/>
                <w:lang w:bidi="ar-SA"/>
              </w:rPr>
              <w:t>Control Line</w:t>
            </w:r>
          </w:p>
        </w:tc>
        <w:tc>
          <w:tcPr>
            <w:tcW w:w="1117" w:type="dxa"/>
            <w:tcBorders>
              <w:top w:val="single" w:sz="8" w:space="0" w:color="auto"/>
              <w:left w:val="nil"/>
              <w:bottom w:val="single" w:sz="8" w:space="0" w:color="auto"/>
              <w:right w:val="single" w:sz="8" w:space="0" w:color="auto"/>
            </w:tcBorders>
            <w:shd w:val="clear" w:color="000000" w:fill="CDF2FF"/>
            <w:vAlign w:val="center"/>
            <w:hideMark/>
          </w:tcPr>
          <w:p w:rsidR="005716BE" w:rsidRPr="00927479" w:rsidRDefault="005716BE" w:rsidP="005716BE">
            <w:pPr>
              <w:widowControl/>
              <w:autoSpaceDE/>
              <w:autoSpaceDN/>
              <w:jc w:val="center"/>
              <w:rPr>
                <w:rFonts w:asciiTheme="minorHAnsi" w:eastAsia="Times New Roman" w:hAnsiTheme="minorHAnsi"/>
                <w:b/>
                <w:bCs/>
                <w:sz w:val="18"/>
                <w:szCs w:val="18"/>
                <w:lang w:bidi="ar-SA"/>
              </w:rPr>
            </w:pPr>
            <w:r w:rsidRPr="00927479">
              <w:rPr>
                <w:rFonts w:asciiTheme="minorHAnsi" w:eastAsia="Times New Roman" w:hAnsiTheme="minorHAnsi"/>
                <w:b/>
                <w:bCs/>
                <w:sz w:val="18"/>
                <w:szCs w:val="18"/>
                <w:lang w:bidi="ar-SA"/>
              </w:rPr>
              <w:t>AptaSure MRSA</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Type 1 </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1</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lastRenderedPageBreak/>
              <w:t>7.5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3</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3</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4.5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5</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VR-5™</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5</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VR-5™</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1.0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7</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7</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8</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8</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2.5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11</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11</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2.5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18</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18</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6.0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23</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23</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55</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55</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C1 Ad. 71</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C1 Ad. 71</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C1 Ad. 71</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C1 Ad. 71</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Adenovirus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C1 Ad. 71</w:t>
            </w:r>
          </w:p>
        </w:tc>
        <w:tc>
          <w:tcPr>
            <w:tcW w:w="2165"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Bordetella pertussis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18323</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- 9797D-5™</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Bordetella pertussis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18323</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- 9797D-5™</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Bordetella pertussis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H922</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BAA-2706™</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Bordetella pertussis </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H922</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BAA-2706™</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Bordetella pertussis </w:t>
            </w:r>
          </w:p>
        </w:tc>
        <w:tc>
          <w:tcPr>
            <w:tcW w:w="1437"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CNCTC Hp 12/63 [623]</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- 51445™</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Bordetella pertussis </w:t>
            </w:r>
          </w:p>
        </w:tc>
        <w:tc>
          <w:tcPr>
            <w:tcW w:w="1437" w:type="dxa"/>
            <w:tcBorders>
              <w:top w:val="nil"/>
              <w:left w:val="nil"/>
              <w:bottom w:val="single" w:sz="8" w:space="0" w:color="auto"/>
              <w:right w:val="single" w:sz="8" w:space="0" w:color="auto"/>
            </w:tcBorders>
            <w:shd w:val="clear" w:color="auto" w:fill="auto"/>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CNCTC Hp 12/63 [623]</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- 51445™</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lastRenderedPageBreak/>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i/>
                <w:iCs/>
                <w:sz w:val="18"/>
                <w:szCs w:val="18"/>
                <w:lang w:bidi="ar-SA"/>
              </w:rPr>
            </w:pPr>
            <w:r w:rsidRPr="00927479">
              <w:rPr>
                <w:rFonts w:asciiTheme="minorHAnsi" w:eastAsia="Times New Roman" w:hAnsiTheme="minorHAnsi"/>
                <w:i/>
                <w:iCs/>
                <w:sz w:val="18"/>
                <w:szCs w:val="18"/>
                <w:lang w:bidi="ar-SA"/>
              </w:rPr>
              <w:t>Candida albicans</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CBS 562 </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- 18804™</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i/>
                <w:iCs/>
                <w:sz w:val="18"/>
                <w:szCs w:val="18"/>
                <w:lang w:bidi="ar-SA"/>
              </w:rPr>
            </w:pPr>
            <w:r w:rsidRPr="00927479">
              <w:rPr>
                <w:rFonts w:asciiTheme="minorHAnsi" w:eastAsia="Times New Roman" w:hAnsiTheme="minorHAnsi"/>
                <w:i/>
                <w:iCs/>
                <w:sz w:val="18"/>
                <w:szCs w:val="18"/>
                <w:lang w:bidi="ar-SA"/>
              </w:rPr>
              <w:t>Candida albicans</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CBS 563</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- 18804™</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7.88 x 10</w:t>
            </w:r>
            <w:r w:rsidRPr="00927479">
              <w:rPr>
                <w:rFonts w:asciiTheme="minorHAnsi" w:eastAsia="Times New Roman" w:hAnsiTheme="minorHAnsi"/>
                <w:sz w:val="18"/>
                <w:szCs w:val="18"/>
                <w:vertAlign w:val="superscript"/>
                <w:lang w:bidi="ar-SA"/>
              </w:rPr>
              <w:t>8</w:t>
            </w:r>
            <w:r w:rsidRPr="00927479">
              <w:rPr>
                <w:rFonts w:asciiTheme="minorHAnsi" w:eastAsia="Times New Roman" w:hAnsiTheme="minorHAnsi"/>
                <w:sz w:val="18"/>
                <w:szCs w:val="18"/>
                <w:lang w:bidi="ar-SA"/>
              </w:rPr>
              <w:t xml:space="preserve"> CFU/ml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i/>
                <w:iCs/>
                <w:sz w:val="18"/>
                <w:szCs w:val="18"/>
                <w:lang w:bidi="ar-SA"/>
              </w:rPr>
            </w:pPr>
            <w:r w:rsidRPr="00927479">
              <w:rPr>
                <w:rFonts w:asciiTheme="minorHAnsi" w:eastAsia="Times New Roman" w:hAnsiTheme="minorHAnsi"/>
                <w:i/>
                <w:iCs/>
                <w:sz w:val="18"/>
                <w:szCs w:val="18"/>
                <w:lang w:bidi="ar-SA"/>
              </w:rPr>
              <w:t>Candida albicans</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CBS 564</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- 18804™</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i/>
                <w:iCs/>
                <w:sz w:val="18"/>
                <w:szCs w:val="18"/>
                <w:lang w:bidi="ar-SA"/>
              </w:rPr>
            </w:pPr>
            <w:r w:rsidRPr="00927479">
              <w:rPr>
                <w:rFonts w:asciiTheme="minorHAnsi" w:eastAsia="Times New Roman" w:hAnsiTheme="minorHAnsi"/>
                <w:i/>
                <w:iCs/>
                <w:sz w:val="18"/>
                <w:szCs w:val="18"/>
                <w:lang w:bidi="ar-SA"/>
              </w:rPr>
              <w:t>Candida albicans</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NIH 3172</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- 14053D-5™</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i/>
                <w:iCs/>
                <w:sz w:val="18"/>
                <w:szCs w:val="18"/>
                <w:lang w:bidi="ar-SA"/>
              </w:rPr>
            </w:pPr>
            <w:r w:rsidRPr="00927479">
              <w:rPr>
                <w:rFonts w:asciiTheme="minorHAnsi" w:eastAsia="Times New Roman" w:hAnsiTheme="minorHAnsi"/>
                <w:i/>
                <w:iCs/>
                <w:sz w:val="18"/>
                <w:szCs w:val="18"/>
                <w:lang w:bidi="ar-SA"/>
              </w:rPr>
              <w:t>Candida albicans</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NIH 3173</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- 14053D-5™</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i/>
                <w:iCs/>
                <w:sz w:val="18"/>
                <w:szCs w:val="18"/>
                <w:lang w:bidi="ar-SA"/>
              </w:rPr>
            </w:pPr>
            <w:r w:rsidRPr="00927479">
              <w:rPr>
                <w:rFonts w:asciiTheme="minorHAnsi" w:eastAsia="Times New Roman" w:hAnsiTheme="minorHAnsi"/>
                <w:i/>
                <w:iCs/>
                <w:sz w:val="18"/>
                <w:szCs w:val="18"/>
                <w:lang w:bidi="ar-SA"/>
              </w:rPr>
              <w:t>Candida albicans</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GDH16</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MYA273™</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i/>
                <w:iCs/>
                <w:sz w:val="18"/>
                <w:szCs w:val="18"/>
                <w:lang w:bidi="ar-SA"/>
              </w:rPr>
            </w:pPr>
            <w:r w:rsidRPr="00927479">
              <w:rPr>
                <w:rFonts w:asciiTheme="minorHAnsi" w:eastAsia="Times New Roman" w:hAnsiTheme="minorHAnsi"/>
                <w:i/>
                <w:iCs/>
                <w:sz w:val="18"/>
                <w:szCs w:val="18"/>
                <w:lang w:bidi="ar-SA"/>
              </w:rPr>
              <w:t>Candida albicans</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GDH16</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MYA273™</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i/>
                <w:iCs/>
                <w:sz w:val="18"/>
                <w:szCs w:val="18"/>
                <w:lang w:bidi="ar-SA"/>
              </w:rPr>
            </w:pPr>
            <w:r w:rsidRPr="00927479">
              <w:rPr>
                <w:rFonts w:asciiTheme="minorHAnsi" w:eastAsia="Times New Roman" w:hAnsiTheme="minorHAnsi"/>
                <w:i/>
                <w:iCs/>
                <w:sz w:val="18"/>
                <w:szCs w:val="18"/>
                <w:lang w:bidi="ar-SA"/>
              </w:rPr>
              <w:t>Chlamydia pneumoniae</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A03</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VR-1452™</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i/>
                <w:iCs/>
                <w:sz w:val="18"/>
                <w:szCs w:val="18"/>
                <w:lang w:bidi="ar-SA"/>
              </w:rPr>
            </w:pPr>
            <w:r w:rsidRPr="00927479">
              <w:rPr>
                <w:rFonts w:asciiTheme="minorHAnsi" w:eastAsia="Times New Roman" w:hAnsiTheme="minorHAnsi"/>
                <w:i/>
                <w:iCs/>
                <w:sz w:val="18"/>
                <w:szCs w:val="18"/>
                <w:lang w:bidi="ar-SA"/>
              </w:rPr>
              <w:t>Chlamydia pneumoniae</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A03</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VR-1452™</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i/>
                <w:iCs/>
                <w:sz w:val="18"/>
                <w:szCs w:val="18"/>
                <w:lang w:bidi="ar-SA"/>
              </w:rPr>
            </w:pPr>
            <w:r w:rsidRPr="00927479">
              <w:rPr>
                <w:rFonts w:asciiTheme="minorHAnsi" w:eastAsia="Times New Roman" w:hAnsiTheme="minorHAnsi"/>
                <w:i/>
                <w:iCs/>
                <w:sz w:val="18"/>
                <w:szCs w:val="18"/>
                <w:lang w:bidi="ar-SA"/>
              </w:rPr>
              <w:t>Chlamydia pneumoniae</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TW-183</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VR-2282™</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i/>
                <w:iCs/>
                <w:sz w:val="18"/>
                <w:szCs w:val="18"/>
                <w:lang w:bidi="ar-SA"/>
              </w:rPr>
            </w:pPr>
            <w:r w:rsidRPr="00927479">
              <w:rPr>
                <w:rFonts w:asciiTheme="minorHAnsi" w:eastAsia="Times New Roman" w:hAnsiTheme="minorHAnsi"/>
                <w:i/>
                <w:iCs/>
                <w:sz w:val="18"/>
                <w:szCs w:val="18"/>
                <w:lang w:bidi="ar-SA"/>
              </w:rPr>
              <w:t>Chlamydia pneumoniae</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TW-183</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VR-2282™</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i/>
                <w:iCs/>
                <w:sz w:val="18"/>
                <w:szCs w:val="18"/>
                <w:lang w:bidi="ar-SA"/>
              </w:rPr>
            </w:pPr>
            <w:r w:rsidRPr="00927479">
              <w:rPr>
                <w:rFonts w:asciiTheme="minorHAnsi" w:eastAsia="Times New Roman" w:hAnsiTheme="minorHAnsi"/>
                <w:i/>
                <w:iCs/>
                <w:sz w:val="18"/>
                <w:szCs w:val="18"/>
                <w:lang w:bidi="ar-SA"/>
              </w:rPr>
              <w:t>Chlamydia pneumoniae</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J-21</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VR-1435™</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716BE"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i/>
                <w:iCs/>
                <w:sz w:val="18"/>
                <w:szCs w:val="18"/>
                <w:lang w:bidi="ar-SA"/>
              </w:rPr>
            </w:pPr>
            <w:r w:rsidRPr="00927479">
              <w:rPr>
                <w:rFonts w:asciiTheme="minorHAnsi" w:eastAsia="Times New Roman" w:hAnsiTheme="minorHAnsi"/>
                <w:i/>
                <w:iCs/>
                <w:sz w:val="18"/>
                <w:szCs w:val="18"/>
                <w:lang w:bidi="ar-SA"/>
              </w:rPr>
              <w:t>Chlamydia pneumoniae</w:t>
            </w:r>
          </w:p>
        </w:tc>
        <w:tc>
          <w:tcPr>
            <w:tcW w:w="143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J-22</w:t>
            </w:r>
          </w:p>
        </w:tc>
        <w:tc>
          <w:tcPr>
            <w:tcW w:w="2165"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VR-1435™</w:t>
            </w:r>
          </w:p>
        </w:tc>
        <w:tc>
          <w:tcPr>
            <w:tcW w:w="1050"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716BE" w:rsidRPr="00927479" w:rsidRDefault="005716BE"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5 x 10</w:t>
            </w:r>
            <w:r w:rsidRPr="00927479">
              <w:rPr>
                <w:rFonts w:asciiTheme="minorHAnsi" w:eastAsia="Times New Roman" w:hAnsiTheme="minorHAnsi"/>
                <w:sz w:val="18"/>
                <w:szCs w:val="18"/>
                <w:vertAlign w:val="superscript"/>
                <w:lang w:bidi="ar-SA"/>
              </w:rPr>
              <w:t>8</w:t>
            </w:r>
            <w:r w:rsidRPr="00927479">
              <w:rPr>
                <w:rFonts w:asciiTheme="minorHAnsi" w:eastAsia="Times New Roman" w:hAnsiTheme="minorHAnsi"/>
                <w:sz w:val="18"/>
                <w:szCs w:val="18"/>
                <w:lang w:bidi="ar-SA"/>
              </w:rPr>
              <w:t xml:space="preserve"> 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 (3.8 x 10</w:t>
            </w:r>
            <w:r w:rsidRPr="00927479">
              <w:rPr>
                <w:rFonts w:asciiTheme="minorHAnsi" w:eastAsia="Times New Roman" w:hAnsiTheme="minorHAnsi"/>
                <w:sz w:val="18"/>
                <w:szCs w:val="18"/>
                <w:vertAlign w:val="superscript"/>
                <w:lang w:bidi="ar-SA"/>
              </w:rPr>
              <w:t>8</w:t>
            </w:r>
            <w:r w:rsidRPr="00927479">
              <w:rPr>
                <w:rFonts w:asciiTheme="minorHAnsi" w:eastAsia="Times New Roman" w:hAnsiTheme="minorHAnsi"/>
                <w:sz w:val="18"/>
                <w:szCs w:val="18"/>
                <w:lang w:bidi="ar-SA"/>
              </w:rPr>
              <w:t xml:space="preserve"> copies/ml)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Enterovirus Species A</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Erdman</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NCPV 0812215v</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5.10 x 10</w:t>
            </w:r>
            <w:r w:rsidRPr="00927479">
              <w:rPr>
                <w:rFonts w:asciiTheme="minorHAnsi" w:eastAsia="Times New Roman" w:hAnsiTheme="minorHAnsi"/>
                <w:sz w:val="18"/>
                <w:szCs w:val="18"/>
                <w:vertAlign w:val="superscript"/>
                <w:lang w:bidi="ar-SA"/>
              </w:rPr>
              <w:t>7</w:t>
            </w:r>
            <w:r w:rsidRPr="00927479">
              <w:rPr>
                <w:rFonts w:asciiTheme="minorHAnsi" w:eastAsia="Times New Roman" w:hAnsiTheme="minorHAnsi"/>
                <w:sz w:val="18"/>
                <w:szCs w:val="18"/>
                <w:lang w:bidi="ar-SA"/>
              </w:rPr>
              <w:t xml:space="preserve"> 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 (1.10 x 10</w:t>
            </w:r>
            <w:r w:rsidRPr="00927479">
              <w:rPr>
                <w:rFonts w:asciiTheme="minorHAnsi" w:eastAsia="Times New Roman" w:hAnsiTheme="minorHAnsi"/>
                <w:sz w:val="18"/>
                <w:szCs w:val="18"/>
                <w:vertAlign w:val="superscript"/>
                <w:lang w:bidi="ar-SA"/>
              </w:rPr>
              <w:t xml:space="preserve">8 </w:t>
            </w:r>
            <w:r w:rsidRPr="00927479">
              <w:rPr>
                <w:rFonts w:asciiTheme="minorHAnsi" w:eastAsia="Times New Roman" w:hAnsiTheme="minorHAnsi"/>
                <w:sz w:val="18"/>
                <w:szCs w:val="18"/>
                <w:lang w:bidi="ar-SA"/>
              </w:rPr>
              <w:t>copies/ml)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Enterovirus Species B</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Echovirus 6</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Zeptometrix 0810076CF</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5 x 10</w:t>
            </w:r>
            <w:r w:rsidRPr="00927479">
              <w:rPr>
                <w:rFonts w:asciiTheme="minorHAnsi" w:eastAsia="Times New Roman" w:hAnsiTheme="minorHAnsi"/>
                <w:sz w:val="18"/>
                <w:szCs w:val="18"/>
                <w:vertAlign w:val="superscript"/>
                <w:lang w:bidi="ar-SA"/>
              </w:rPr>
              <w:t>8</w:t>
            </w:r>
            <w:r w:rsidRPr="00927479">
              <w:rPr>
                <w:rFonts w:asciiTheme="minorHAnsi" w:eastAsia="Times New Roman" w:hAnsiTheme="minorHAnsi"/>
                <w:sz w:val="18"/>
                <w:szCs w:val="18"/>
                <w:lang w:bidi="ar-SA"/>
              </w:rPr>
              <w:t xml:space="preserve"> 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 (3.8 x 10</w:t>
            </w:r>
            <w:r w:rsidRPr="00927479">
              <w:rPr>
                <w:rFonts w:asciiTheme="minorHAnsi" w:eastAsia="Times New Roman" w:hAnsiTheme="minorHAnsi"/>
                <w:sz w:val="18"/>
                <w:szCs w:val="18"/>
                <w:vertAlign w:val="superscript"/>
                <w:lang w:bidi="ar-SA"/>
              </w:rPr>
              <w:t>8</w:t>
            </w:r>
            <w:r w:rsidRPr="00927479">
              <w:rPr>
                <w:rFonts w:asciiTheme="minorHAnsi" w:eastAsia="Times New Roman" w:hAnsiTheme="minorHAnsi"/>
                <w:sz w:val="18"/>
                <w:szCs w:val="18"/>
                <w:lang w:bidi="ar-SA"/>
              </w:rPr>
              <w:t xml:space="preserve"> copies/ml)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Enterovirus Species C</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Coxsackievirus A17</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VR-1023™</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1.58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Enterovirus Species D</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68</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Zeptometrix 0810237CF</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 xml:space="preserve">Haemophilus influenzae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 xml:space="preserve">Haemophilus influenzae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 xml:space="preserve">Haemophilus influenzae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 Human Metapneumovirus (hMPV)</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570"/>
        </w:trPr>
        <w:tc>
          <w:tcPr>
            <w:tcW w:w="2026" w:type="dxa"/>
            <w:tcBorders>
              <w:top w:val="nil"/>
              <w:left w:val="single" w:sz="8" w:space="0" w:color="auto"/>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 Human Metapneumovirus (hMPV)</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570"/>
        </w:trPr>
        <w:tc>
          <w:tcPr>
            <w:tcW w:w="2026" w:type="dxa"/>
            <w:tcBorders>
              <w:top w:val="nil"/>
              <w:left w:val="single" w:sz="8" w:space="0" w:color="auto"/>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 Human Metapneumovirus (hMPV)</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570"/>
        </w:trPr>
        <w:tc>
          <w:tcPr>
            <w:tcW w:w="2026" w:type="dxa"/>
            <w:tcBorders>
              <w:top w:val="nil"/>
              <w:left w:val="single" w:sz="8" w:space="0" w:color="auto"/>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 Human Metapneumovirus (hMPV)</w:t>
            </w:r>
          </w:p>
        </w:tc>
        <w:tc>
          <w:tcPr>
            <w:tcW w:w="1437"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N/A</w:t>
            </w:r>
          </w:p>
        </w:tc>
        <w:tc>
          <w:tcPr>
            <w:tcW w:w="2165"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 Human Metapneumovirus (hMPV)</w:t>
            </w:r>
          </w:p>
        </w:tc>
        <w:tc>
          <w:tcPr>
            <w:tcW w:w="1437"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i/>
                <w:iCs/>
                <w:sz w:val="18"/>
                <w:szCs w:val="18"/>
                <w:lang w:bidi="ar-SA"/>
              </w:rPr>
            </w:pPr>
            <w:r w:rsidRPr="00927479">
              <w:rPr>
                <w:rFonts w:asciiTheme="minorHAnsi" w:eastAsia="Times New Roman" w:hAnsiTheme="minorHAnsi"/>
                <w:sz w:val="18"/>
                <w:szCs w:val="18"/>
                <w:lang w:bidi="ar-SA"/>
              </w:rPr>
              <w:t xml:space="preserve"> Human Metapneumovirus (hMPV)</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3.0 x 10</w:t>
            </w:r>
            <w:r w:rsidRPr="00927479">
              <w:rPr>
                <w:rFonts w:asciiTheme="minorHAnsi" w:eastAsia="Times New Roman" w:hAnsiTheme="minorHAnsi"/>
                <w:sz w:val="18"/>
                <w:szCs w:val="18"/>
                <w:vertAlign w:val="superscript"/>
                <w:lang w:bidi="ar-SA"/>
              </w:rPr>
              <w:t>8</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i/>
                <w:iCs/>
                <w:sz w:val="18"/>
                <w:szCs w:val="18"/>
                <w:lang w:bidi="ar-SA"/>
              </w:rPr>
            </w:pPr>
            <w:r w:rsidRPr="00927479">
              <w:rPr>
                <w:rFonts w:asciiTheme="minorHAnsi" w:eastAsia="Times New Roman" w:hAnsiTheme="minorHAnsi"/>
                <w:sz w:val="18"/>
                <w:szCs w:val="18"/>
                <w:lang w:bidi="ar-SA"/>
              </w:rPr>
              <w:t>Influenza A</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H1N1 Denver</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i/>
                <w:iCs/>
                <w:sz w:val="18"/>
                <w:szCs w:val="18"/>
                <w:lang w:bidi="ar-SA"/>
              </w:rPr>
            </w:pPr>
            <w:r w:rsidRPr="00927479">
              <w:rPr>
                <w:rFonts w:asciiTheme="minorHAnsi" w:eastAsia="Times New Roman" w:hAnsiTheme="minorHAnsi"/>
                <w:sz w:val="18"/>
                <w:szCs w:val="18"/>
                <w:lang w:bidi="ar-SA"/>
              </w:rPr>
              <w:t>Influenza A</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H1N1 Denver</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2 x 10</w:t>
            </w:r>
            <w:r w:rsidRPr="00927479">
              <w:rPr>
                <w:rFonts w:asciiTheme="minorHAnsi" w:eastAsia="Times New Roman" w:hAnsiTheme="minorHAnsi"/>
                <w:sz w:val="18"/>
                <w:szCs w:val="18"/>
                <w:vertAlign w:val="superscript"/>
                <w:lang w:bidi="ar-SA"/>
              </w:rPr>
              <w:t>8</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Influenza A</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H1N1 WS/33</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lastRenderedPageBreak/>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Influenza A</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H1N1 WS/34</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8</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Influenza A</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H1N1 A/Mal/302/54</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Influenza A</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H1N1 A/Mal/302/55</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7.6 x 10</w:t>
            </w:r>
            <w:r w:rsidRPr="00927479">
              <w:rPr>
                <w:rFonts w:asciiTheme="minorHAnsi" w:eastAsia="Times New Roman" w:hAnsiTheme="minorHAnsi"/>
                <w:sz w:val="18"/>
                <w:szCs w:val="18"/>
                <w:vertAlign w:val="superscript"/>
                <w:lang w:bidi="ar-SA"/>
              </w:rPr>
              <w:t>8</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Influenza A</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H1N1 New Caledonia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Influenza A</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H1N1 New Caledonia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4.6 x 10</w:t>
            </w:r>
            <w:r w:rsidRPr="00927479">
              <w:rPr>
                <w:rFonts w:asciiTheme="minorHAnsi" w:eastAsia="Times New Roman" w:hAnsiTheme="minorHAnsi"/>
                <w:sz w:val="18"/>
                <w:szCs w:val="18"/>
                <w:vertAlign w:val="superscript"/>
                <w:lang w:bidi="ar-SA"/>
              </w:rPr>
              <w:t>8</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Influenza A</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H3N2 A/Hong Kong/8/68</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Influenza A</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H3N2 A/Hong Kong/8/69</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8</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Influenza B</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Nevada/03/201 1</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Influenza B</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Nevada/03/201 2</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8.5 x 10</w:t>
            </w:r>
            <w:r w:rsidRPr="00927479">
              <w:rPr>
                <w:rFonts w:asciiTheme="minorHAnsi" w:eastAsia="Times New Roman" w:hAnsiTheme="minorHAnsi"/>
                <w:sz w:val="18"/>
                <w:szCs w:val="18"/>
                <w:vertAlign w:val="superscript"/>
                <w:lang w:bidi="ar-SA"/>
              </w:rPr>
              <w:t>8</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Influenza B</w:t>
            </w:r>
          </w:p>
        </w:tc>
        <w:tc>
          <w:tcPr>
            <w:tcW w:w="1437"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B/Lee/40</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Influenza B</w:t>
            </w:r>
          </w:p>
        </w:tc>
        <w:tc>
          <w:tcPr>
            <w:tcW w:w="1437"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B/Lee/41</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4. x 10</w:t>
            </w:r>
            <w:r w:rsidRPr="00927479">
              <w:rPr>
                <w:rFonts w:asciiTheme="minorHAnsi" w:eastAsia="Times New Roman" w:hAnsiTheme="minorHAnsi"/>
                <w:sz w:val="18"/>
                <w:szCs w:val="18"/>
                <w:vertAlign w:val="superscript"/>
                <w:lang w:bidi="ar-SA"/>
              </w:rPr>
              <w:t>8</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Influenza B</w:t>
            </w:r>
          </w:p>
        </w:tc>
        <w:tc>
          <w:tcPr>
            <w:tcW w:w="1437"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B/Taiwan/2/62</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Influenza B</w:t>
            </w:r>
          </w:p>
        </w:tc>
        <w:tc>
          <w:tcPr>
            <w:tcW w:w="1437"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B/Taiwan/2/63</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Legionella pneumophilia</w:t>
            </w:r>
          </w:p>
        </w:tc>
        <w:tc>
          <w:tcPr>
            <w:tcW w:w="1437"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Bloomington-2</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Legionella pneumophilia</w:t>
            </w:r>
          </w:p>
        </w:tc>
        <w:tc>
          <w:tcPr>
            <w:tcW w:w="1437"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Los-Angeles-1</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Legionella pneumophilia</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82A3105</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Mycoplasma pneumoniae</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Mutant 22</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Mycoplasma pneumoniae</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FH strain of Eaton Agent [NCTC10119]</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Mycoplasma pneumoniae</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36M129-B7</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Mycobacterium tuberculosis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K</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Mycobacterium tuberculosis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Erdman</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Mycobacterium tuberculosis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HN878</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Mycobacterium tuberculosis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CDC1551</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Mycobacterium tuberculosis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H37RV</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1</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lastRenderedPageBreak/>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1</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73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1</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1</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1</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1</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2</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73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2</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2</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3</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4</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5</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3</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3</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3</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4</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5</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6</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4A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Parainfluenza 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4A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Parainfluenza virus 4A</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4A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Parainfluenza virus 4A</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4A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Parainfluenza virus 4A</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4A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Parainfluenza virus 4A</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Type 4A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Pneumocystis jirovecii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M167-6</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PRA-159™</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lastRenderedPageBreak/>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Pneumocystis jirovecii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M167-6</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PRA-159™</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Pneumocystis jirovecii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PRA-111™</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Pneumocystis jirovecii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PRA-111™</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N/A</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Pooled human nasal wash</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Pooled human nasal wash - AHMC Labs</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N/A</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Pooled human nasal wash</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Pooled human nasal wash - AHMC Labs</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Rhinovirus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A16</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Rhinovirus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A16</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1.5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Rhinovirus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A16</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Rhinovirus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A17</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2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Rhinovirus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A18</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3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 xml:space="preserve">Rhinovirus </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A19</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2.5 x10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Respiratory syncytial virus (RSV)</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RSVA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Respiratory syncytial virus (RSV)</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RSVA</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2.5 x10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Respiratory syncytial virus (RSV)</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RSVA</w:t>
            </w:r>
          </w:p>
        </w:tc>
        <w:tc>
          <w:tcPr>
            <w:tcW w:w="2165"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Respiratory syncytial virus (RSV)</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RSVA</w:t>
            </w:r>
          </w:p>
        </w:tc>
        <w:tc>
          <w:tcPr>
            <w:tcW w:w="2165"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2.5 x10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TCID</w:t>
            </w:r>
            <w:r w:rsidRPr="00927479">
              <w:rPr>
                <w:rFonts w:asciiTheme="minorHAnsi" w:eastAsia="Times New Roman" w:hAnsiTheme="minorHAnsi"/>
                <w:sz w:val="18"/>
                <w:szCs w:val="18"/>
                <w:vertAlign w:val="subscript"/>
                <w:lang w:bidi="ar-SA"/>
              </w:rPr>
              <w:t>50</w:t>
            </w:r>
            <w:r w:rsidRPr="00927479">
              <w:rPr>
                <w:rFonts w:asciiTheme="minorHAnsi" w:eastAsia="Times New Roman" w:hAnsiTheme="minorHAnsi"/>
                <w:sz w:val="18"/>
                <w:szCs w:val="18"/>
                <w:lang w:bidi="ar-SA"/>
              </w:rPr>
              <w:t>/ml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Respiratory syncytial virus (RSV)</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RSVA</w:t>
            </w:r>
          </w:p>
        </w:tc>
        <w:tc>
          <w:tcPr>
            <w:tcW w:w="2165"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330"/>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Respiratory syncytial virus (RSV)</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RSVA</w:t>
            </w:r>
          </w:p>
        </w:tc>
        <w:tc>
          <w:tcPr>
            <w:tcW w:w="2165"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Staphylococcus aureus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NCTC 8532</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- 12600™</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Staphylococcus aureus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NCTC 8532</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- 12600™</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Staphylococcus aureus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FDA 209P</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- 6538P™</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Staphylococcus aureus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FDA 209P</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- 6538P™</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Staphylococcus epidermidis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1191</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- 700562™</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Staphylococcus epidermidis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1191</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- 700562™</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Staphylococcus epidermidis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RP12 [CIP 106510]</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- 35983™</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Staphylococcus epidermidis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RP12 [CIP 106510]</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ATCC® - 35983™</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lastRenderedPageBreak/>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Streptococcus pyogenes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Typing strain T1 [NCIB 11841, SF, 130]</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Streptococcus pyogenes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Typing strain T1 [NCIB 11841, SF, 130]</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Streptococcus pyogenes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Typing strain T1 [NCIB 11841, SF, 130]</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Streptococcus pyogenes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Typing strain T1 [NCIB 11841, SF, 130]</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Streptococcus pyogenes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Typing strain T1 [NCIB 11841, SF, 130]</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Streptococcus pyogenes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Typing strain T1 [NCIB 11841, SF, 130]</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Streptococcus pyogenes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4752-98 [Maryland (D1)6B-17]</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Streptococcus pyogenes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4752-98 [Maryland (D1)6B-17]</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Streptococcus pyogenes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178 [Poland 23F-16]</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Streptococcus pyogenes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179 [Poland 23F-16]</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Streptococcus pyogenes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262 [CIP 104340]</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Streptococcus pyogenes</w:t>
            </w:r>
          </w:p>
        </w:tc>
        <w:tc>
          <w:tcPr>
            <w:tcW w:w="143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263 [CIP 104340]</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5</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Streptococcus pyogenes</w:t>
            </w:r>
          </w:p>
        </w:tc>
        <w:tc>
          <w:tcPr>
            <w:tcW w:w="1437"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Slovakia 14-10 [29055]</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r w:rsidR="00535271" w:rsidRPr="00927479" w:rsidTr="00535271">
        <w:trPr>
          <w:trHeight w:val="49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1 x 10</w:t>
            </w:r>
            <w:r w:rsidRPr="00927479">
              <w:rPr>
                <w:rFonts w:asciiTheme="minorHAnsi" w:eastAsia="Times New Roman" w:hAnsiTheme="minorHAnsi"/>
                <w:sz w:val="18"/>
                <w:szCs w:val="18"/>
                <w:vertAlign w:val="superscript"/>
                <w:lang w:bidi="ar-SA"/>
              </w:rPr>
              <w:t>6</w:t>
            </w:r>
            <w:r w:rsidRPr="00927479">
              <w:rPr>
                <w:rFonts w:asciiTheme="minorHAnsi" w:eastAsia="Times New Roman" w:hAnsiTheme="minorHAnsi"/>
                <w:sz w:val="18"/>
                <w:szCs w:val="18"/>
                <w:lang w:bidi="ar-SA"/>
              </w:rPr>
              <w:t xml:space="preserve"> PFU/ml</w:t>
            </w:r>
          </w:p>
        </w:tc>
        <w:tc>
          <w:tcPr>
            <w:tcW w:w="239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i/>
                <w:iCs/>
                <w:sz w:val="18"/>
                <w:szCs w:val="18"/>
                <w:lang w:bidi="ar-SA"/>
              </w:rPr>
              <w:t>Streptococcus pyogenes</w:t>
            </w:r>
          </w:p>
        </w:tc>
        <w:tc>
          <w:tcPr>
            <w:tcW w:w="1437"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Slovakia 14-10 [29055]</w:t>
            </w:r>
          </w:p>
        </w:tc>
        <w:tc>
          <w:tcPr>
            <w:tcW w:w="2165" w:type="dxa"/>
            <w:tcBorders>
              <w:top w:val="nil"/>
              <w:left w:val="nil"/>
              <w:bottom w:val="single" w:sz="8" w:space="0" w:color="auto"/>
              <w:right w:val="single" w:sz="8" w:space="0" w:color="auto"/>
            </w:tcBorders>
            <w:shd w:val="clear" w:color="auto" w:fill="auto"/>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AMMS/Inactivated viral culture</w:t>
            </w:r>
          </w:p>
        </w:tc>
        <w:tc>
          <w:tcPr>
            <w:tcW w:w="1050"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w:t>
            </w:r>
          </w:p>
        </w:tc>
        <w:tc>
          <w:tcPr>
            <w:tcW w:w="1117" w:type="dxa"/>
            <w:tcBorders>
              <w:top w:val="nil"/>
              <w:left w:val="nil"/>
              <w:bottom w:val="single" w:sz="8" w:space="0" w:color="auto"/>
              <w:right w:val="single" w:sz="8" w:space="0" w:color="auto"/>
            </w:tcBorders>
            <w:shd w:val="clear" w:color="auto" w:fill="auto"/>
            <w:noWrap/>
            <w:vAlign w:val="center"/>
            <w:hideMark/>
          </w:tcPr>
          <w:p w:rsidR="00535271" w:rsidRPr="00927479" w:rsidRDefault="00535271" w:rsidP="005716BE">
            <w:pPr>
              <w:widowControl/>
              <w:autoSpaceDE/>
              <w:autoSpaceDN/>
              <w:jc w:val="center"/>
              <w:rPr>
                <w:rFonts w:asciiTheme="minorHAnsi" w:eastAsia="Times New Roman" w:hAnsiTheme="minorHAnsi"/>
                <w:sz w:val="18"/>
                <w:szCs w:val="18"/>
                <w:lang w:bidi="ar-SA"/>
              </w:rPr>
            </w:pPr>
            <w:r w:rsidRPr="00927479">
              <w:rPr>
                <w:rFonts w:asciiTheme="minorHAnsi" w:eastAsia="Times New Roman" w:hAnsiTheme="minorHAnsi"/>
                <w:sz w:val="18"/>
                <w:szCs w:val="18"/>
                <w:lang w:bidi="ar-SA"/>
              </w:rPr>
              <w:t>Negative</w:t>
            </w:r>
          </w:p>
        </w:tc>
      </w:tr>
    </w:tbl>
    <w:p w:rsidR="00A13AB5" w:rsidRPr="00927479" w:rsidRDefault="00A13AB5" w:rsidP="00A13AB5">
      <w:pPr>
        <w:pStyle w:val="NormalWeb"/>
        <w:shd w:val="clear" w:color="auto" w:fill="FFFFFF"/>
        <w:spacing w:before="0" w:beforeAutospacing="0"/>
        <w:ind w:left="720"/>
        <w:rPr>
          <w:rFonts w:asciiTheme="minorHAnsi" w:hAnsiTheme="minorHAnsi" w:cs="Arial"/>
        </w:rPr>
      </w:pPr>
    </w:p>
    <w:p w:rsidR="00022D78" w:rsidRPr="00927479" w:rsidRDefault="003E5008" w:rsidP="00A13AB5">
      <w:pPr>
        <w:pStyle w:val="ListParagraph"/>
        <w:numPr>
          <w:ilvl w:val="0"/>
          <w:numId w:val="3"/>
        </w:numPr>
        <w:rPr>
          <w:rFonts w:asciiTheme="minorHAnsi" w:hAnsiTheme="minorHAnsi"/>
          <w:b/>
          <w:sz w:val="24"/>
        </w:rPr>
      </w:pPr>
      <w:r w:rsidRPr="00927479">
        <w:rPr>
          <w:rFonts w:asciiTheme="minorHAnsi" w:eastAsia="Times New Roman" w:hAnsiTheme="minorHAnsi"/>
          <w:bCs/>
          <w:kern w:val="32"/>
          <w:sz w:val="24"/>
          <w:szCs w:val="24"/>
        </w:rPr>
        <w:t xml:space="preserve">We have also worked on tested various control solutions. These positive and negative controls are required to be provided with </w:t>
      </w:r>
      <w:r w:rsidR="00022D78" w:rsidRPr="00927479">
        <w:rPr>
          <w:rFonts w:asciiTheme="minorHAnsi" w:eastAsia="Times New Roman" w:hAnsiTheme="minorHAnsi"/>
          <w:bCs/>
          <w:kern w:val="32"/>
          <w:sz w:val="24"/>
          <w:szCs w:val="24"/>
        </w:rPr>
        <w:t>the test kit</w:t>
      </w:r>
      <w:r w:rsidRPr="00927479">
        <w:rPr>
          <w:rFonts w:asciiTheme="minorHAnsi" w:eastAsia="Times New Roman" w:hAnsiTheme="minorHAnsi"/>
          <w:bCs/>
          <w:kern w:val="32"/>
          <w:sz w:val="24"/>
          <w:szCs w:val="24"/>
        </w:rPr>
        <w:t xml:space="preserve">. This would allow for the end-user to validate that the particular device is working properly. We have also been </w:t>
      </w:r>
      <w:r w:rsidRPr="00927479">
        <w:rPr>
          <w:rFonts w:asciiTheme="minorHAnsi" w:eastAsia="Times New Roman" w:hAnsiTheme="minorHAnsi" w:cs="Times New Roman"/>
          <w:sz w:val="24"/>
          <w:szCs w:val="24"/>
        </w:rPr>
        <w:t>validating the controls in the context of our analytical and clinical studies (</w:t>
      </w:r>
      <w:r w:rsidR="00A13AB5" w:rsidRPr="00927479">
        <w:rPr>
          <w:rFonts w:asciiTheme="minorHAnsi" w:eastAsia="Times New Roman" w:hAnsiTheme="minorHAnsi" w:cs="Times New Roman"/>
          <w:sz w:val="24"/>
          <w:szCs w:val="24"/>
        </w:rPr>
        <w:t>E</w:t>
      </w:r>
      <w:r w:rsidRPr="00927479">
        <w:rPr>
          <w:rFonts w:asciiTheme="minorHAnsi" w:eastAsia="Times New Roman" w:hAnsiTheme="minorHAnsi" w:cs="Times New Roman"/>
          <w:sz w:val="24"/>
          <w:szCs w:val="24"/>
        </w:rPr>
        <w:t>xternal control materials are considered particularly important when good manufacturing practice (GMP) requirements are waived and reagent stability studies are limited</w:t>
      </w:r>
      <w:r w:rsidR="00A13AB5" w:rsidRPr="00927479">
        <w:rPr>
          <w:rFonts w:asciiTheme="minorHAnsi" w:eastAsia="Times New Roman" w:hAnsiTheme="minorHAnsi" w:cs="Times New Roman"/>
          <w:b/>
          <w:sz w:val="24"/>
          <w:szCs w:val="24"/>
        </w:rPr>
        <w:t>)</w:t>
      </w:r>
      <w:r w:rsidRPr="00927479">
        <w:rPr>
          <w:rFonts w:asciiTheme="minorHAnsi" w:eastAsia="Times New Roman" w:hAnsiTheme="minorHAnsi" w:cs="Times New Roman"/>
          <w:b/>
          <w:sz w:val="24"/>
          <w:szCs w:val="24"/>
        </w:rPr>
        <w:t>.</w:t>
      </w:r>
      <w:r w:rsidRPr="00927479">
        <w:rPr>
          <w:rFonts w:asciiTheme="minorHAnsi" w:hAnsiTheme="minorHAnsi"/>
          <w:b/>
          <w:sz w:val="24"/>
        </w:rPr>
        <w:t xml:space="preserve"> </w:t>
      </w:r>
    </w:p>
    <w:p w:rsidR="00816C11" w:rsidRDefault="00816C11" w:rsidP="009C17A0">
      <w:pPr>
        <w:pStyle w:val="NormalWeb"/>
        <w:shd w:val="clear" w:color="auto" w:fill="FFFFFF"/>
        <w:spacing w:before="0" w:beforeAutospacing="0"/>
        <w:rPr>
          <w:rFonts w:asciiTheme="minorHAnsi" w:hAnsiTheme="minorHAnsi" w:cs="Arial"/>
        </w:rPr>
      </w:pPr>
    </w:p>
    <w:p w:rsidR="00927479" w:rsidRDefault="00927479" w:rsidP="009C17A0">
      <w:pPr>
        <w:pStyle w:val="NormalWeb"/>
        <w:shd w:val="clear" w:color="auto" w:fill="FFFFFF"/>
        <w:spacing w:before="0" w:beforeAutospacing="0"/>
        <w:rPr>
          <w:rFonts w:asciiTheme="minorHAnsi" w:hAnsiTheme="minorHAnsi" w:cs="Arial"/>
        </w:rPr>
      </w:pPr>
      <w:r>
        <w:rPr>
          <w:rFonts w:asciiTheme="minorHAnsi" w:hAnsiTheme="minorHAnsi" w:cs="Arial"/>
        </w:rPr>
        <w:t>Financials:</w:t>
      </w:r>
    </w:p>
    <w:p w:rsidR="00927479" w:rsidRDefault="00927479" w:rsidP="009C17A0">
      <w:pPr>
        <w:pStyle w:val="NormalWeb"/>
        <w:shd w:val="clear" w:color="auto" w:fill="FFFFFF"/>
        <w:spacing w:before="0" w:beforeAutospacing="0"/>
        <w:rPr>
          <w:rFonts w:asciiTheme="minorHAnsi" w:hAnsiTheme="minorHAnsi" w:cs="Arial"/>
        </w:rPr>
      </w:pPr>
      <w:r>
        <w:rPr>
          <w:rFonts w:asciiTheme="minorHAnsi" w:hAnsiTheme="minorHAnsi" w:cs="Arial"/>
        </w:rPr>
        <w:t xml:space="preserve">No Loss for 2020. $7,277.36 income from commissions earned on passive internet sales of COVID-19 Rapid Antibody test. </w:t>
      </w:r>
    </w:p>
    <w:p w:rsidR="00927479" w:rsidRPr="00927479" w:rsidRDefault="00927479" w:rsidP="009C17A0">
      <w:pPr>
        <w:pStyle w:val="NormalWeb"/>
        <w:shd w:val="clear" w:color="auto" w:fill="FFFFFF"/>
        <w:spacing w:before="0" w:beforeAutospacing="0"/>
        <w:rPr>
          <w:rFonts w:asciiTheme="minorHAnsi" w:hAnsiTheme="minorHAnsi" w:cs="Arial"/>
        </w:rPr>
      </w:pPr>
      <w:r>
        <w:rPr>
          <w:rFonts w:asciiTheme="minorHAnsi" w:hAnsiTheme="minorHAnsi" w:cs="Arial"/>
        </w:rPr>
        <w:lastRenderedPageBreak/>
        <w:t>Please see attached detailed reports for more information.</w:t>
      </w:r>
      <w:bookmarkStart w:id="0" w:name="_GoBack"/>
      <w:bookmarkEnd w:id="0"/>
    </w:p>
    <w:p w:rsidR="00A13AB5" w:rsidRPr="00927479" w:rsidRDefault="00A13AB5" w:rsidP="00A13AB5">
      <w:pPr>
        <w:pStyle w:val="NormalWeb"/>
        <w:shd w:val="clear" w:color="auto" w:fill="FFFFFF"/>
        <w:spacing w:before="0" w:beforeAutospacing="0"/>
        <w:rPr>
          <w:rFonts w:asciiTheme="minorHAnsi" w:hAnsiTheme="minorHAnsi" w:cs="Arial"/>
        </w:rPr>
      </w:pPr>
      <w:r w:rsidRPr="00927479">
        <w:rPr>
          <w:rFonts w:asciiTheme="minorHAnsi" w:hAnsiTheme="minorHAnsi" w:cs="Arial"/>
        </w:rPr>
        <w:t>As our society unites to overcome the coronavirus outbreak, we hope this unity will serve as a promising model – a model for how we can come together to build a safer and more sustainable world for generations.</w:t>
      </w:r>
    </w:p>
    <w:p w:rsidR="00A13AB5" w:rsidRDefault="00A13AB5" w:rsidP="00A13AB5">
      <w:pPr>
        <w:pStyle w:val="NormalWeb"/>
        <w:shd w:val="clear" w:color="auto" w:fill="FFFFFF"/>
        <w:spacing w:before="0" w:beforeAutospacing="0"/>
        <w:rPr>
          <w:rFonts w:asciiTheme="minorHAnsi" w:hAnsiTheme="minorHAnsi" w:cs="Arial"/>
          <w:b/>
          <w:bCs/>
        </w:rPr>
      </w:pPr>
      <w:r w:rsidRPr="00927479">
        <w:rPr>
          <w:rFonts w:asciiTheme="minorHAnsi" w:hAnsiTheme="minorHAnsi" w:cs="Arial"/>
        </w:rPr>
        <w:t>We, the undersigned, have a responsibility as partners, investors and mentors to stand by your side and support you during hard times. </w:t>
      </w:r>
      <w:r w:rsidRPr="00927479">
        <w:rPr>
          <w:rFonts w:asciiTheme="minorHAnsi" w:hAnsiTheme="minorHAnsi" w:cs="Arial"/>
          <w:b/>
          <w:bCs/>
        </w:rPr>
        <w:t>We’re not going anywhere.</w:t>
      </w:r>
    </w:p>
    <w:p w:rsidR="00927479" w:rsidRDefault="00927479" w:rsidP="00A13AB5">
      <w:pPr>
        <w:pStyle w:val="NormalWeb"/>
        <w:shd w:val="clear" w:color="auto" w:fill="FFFFFF"/>
        <w:spacing w:before="0" w:beforeAutospacing="0"/>
        <w:rPr>
          <w:rFonts w:asciiTheme="minorHAnsi" w:hAnsiTheme="minorHAnsi" w:cs="Arial"/>
          <w:b/>
          <w:bCs/>
        </w:rPr>
      </w:pPr>
    </w:p>
    <w:p w:rsidR="00927479" w:rsidRPr="00927479" w:rsidRDefault="00927479" w:rsidP="00A13AB5">
      <w:pPr>
        <w:pStyle w:val="NormalWeb"/>
        <w:shd w:val="clear" w:color="auto" w:fill="FFFFFF"/>
        <w:spacing w:before="0" w:beforeAutospacing="0"/>
        <w:rPr>
          <w:rFonts w:asciiTheme="minorHAnsi" w:hAnsiTheme="minorHAnsi" w:cs="Arial"/>
          <w:bCs/>
        </w:rPr>
      </w:pPr>
      <w:r>
        <w:rPr>
          <w:rFonts w:asciiTheme="minorHAnsi" w:hAnsiTheme="minorHAnsi" w:cs="Arial"/>
          <w:bCs/>
        </w:rPr>
        <w:t>Sincerely</w:t>
      </w:r>
      <w:r w:rsidRPr="00927479">
        <w:rPr>
          <w:rFonts w:asciiTheme="minorHAnsi" w:hAnsiTheme="minorHAnsi" w:cs="Arial"/>
          <w:bCs/>
        </w:rPr>
        <w:t>,</w:t>
      </w:r>
    </w:p>
    <w:p w:rsidR="00927479" w:rsidRPr="00927479" w:rsidRDefault="00927479" w:rsidP="00A13AB5">
      <w:pPr>
        <w:pStyle w:val="NormalWeb"/>
        <w:shd w:val="clear" w:color="auto" w:fill="FFFFFF"/>
        <w:spacing w:before="0" w:beforeAutospacing="0"/>
        <w:rPr>
          <w:rFonts w:asciiTheme="minorHAnsi" w:hAnsiTheme="minorHAnsi" w:cs="Arial"/>
          <w:bCs/>
        </w:rPr>
      </w:pPr>
    </w:p>
    <w:p w:rsidR="00927479" w:rsidRPr="00927479" w:rsidRDefault="00927479" w:rsidP="00A13AB5">
      <w:pPr>
        <w:pStyle w:val="NormalWeb"/>
        <w:shd w:val="clear" w:color="auto" w:fill="FFFFFF"/>
        <w:spacing w:before="0" w:beforeAutospacing="0"/>
        <w:rPr>
          <w:rFonts w:asciiTheme="minorHAnsi" w:hAnsiTheme="minorHAnsi" w:cs="Arial"/>
          <w:bCs/>
        </w:rPr>
      </w:pPr>
      <w:r w:rsidRPr="00927479">
        <w:rPr>
          <w:rFonts w:asciiTheme="minorHAnsi" w:hAnsiTheme="minorHAnsi" w:cs="Arial"/>
          <w:bCs/>
        </w:rPr>
        <w:t>Victor R. Lange, PhD, JD</w:t>
      </w:r>
    </w:p>
    <w:p w:rsidR="00927479" w:rsidRPr="00927479" w:rsidRDefault="00927479" w:rsidP="00A13AB5">
      <w:pPr>
        <w:pStyle w:val="NormalWeb"/>
        <w:shd w:val="clear" w:color="auto" w:fill="FFFFFF"/>
        <w:spacing w:before="0" w:beforeAutospacing="0"/>
        <w:rPr>
          <w:rFonts w:asciiTheme="minorHAnsi" w:hAnsiTheme="minorHAnsi" w:cs="Arial"/>
          <w:bCs/>
        </w:rPr>
      </w:pPr>
      <w:r w:rsidRPr="00927479">
        <w:rPr>
          <w:rFonts w:asciiTheme="minorHAnsi" w:hAnsiTheme="minorHAnsi" w:cs="Arial"/>
          <w:bCs/>
        </w:rPr>
        <w:t>President/CEO, Invenio Medical, Inc.</w:t>
      </w:r>
    </w:p>
    <w:p w:rsidR="009C17A0" w:rsidRPr="00927479" w:rsidRDefault="009C17A0" w:rsidP="009C17A0">
      <w:pPr>
        <w:pStyle w:val="NormalWeb"/>
        <w:shd w:val="clear" w:color="auto" w:fill="FFFFFF"/>
        <w:spacing w:before="0" w:beforeAutospacing="0"/>
        <w:rPr>
          <w:rFonts w:asciiTheme="minorHAnsi" w:hAnsiTheme="minorHAnsi" w:cs="Arial"/>
        </w:rPr>
      </w:pPr>
    </w:p>
    <w:sectPr w:rsidR="009C17A0" w:rsidRPr="00927479">
      <w:headerReference w:type="default" r:id="rId9"/>
      <w:footerReference w:type="default" r:id="rId10"/>
      <w:pgSz w:w="12240" w:h="15840"/>
      <w:pgMar w:top="1560" w:right="1320" w:bottom="1200" w:left="1340" w:header="728"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60" w:rsidRDefault="00A75460">
      <w:r>
        <w:separator/>
      </w:r>
    </w:p>
  </w:endnote>
  <w:endnote w:type="continuationSeparator" w:id="0">
    <w:p w:rsidR="00A75460" w:rsidRDefault="00A7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71" w:rsidRDefault="00E15694">
    <w:pPr>
      <w:pStyle w:val="BodyText"/>
      <w:spacing w:line="14" w:lineRule="auto"/>
      <w:ind w:left="0" w:firstLine="0"/>
      <w:rPr>
        <w:sz w:val="20"/>
      </w:rPr>
    </w:pPr>
    <w:r>
      <w:rPr>
        <w:noProof/>
        <w:lang w:bidi="ar-SA"/>
      </w:rPr>
      <mc:AlternateContent>
        <mc:Choice Requires="wps">
          <w:drawing>
            <wp:anchor distT="0" distB="0" distL="114300" distR="114300" simplePos="0" relativeHeight="251541504" behindDoc="1" locked="0" layoutInCell="1" allowOverlap="1">
              <wp:simplePos x="0" y="0"/>
              <wp:positionH relativeFrom="page">
                <wp:posOffset>6751320</wp:posOffset>
              </wp:positionH>
              <wp:positionV relativeFrom="page">
                <wp:posOffset>9276080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271" w:rsidRDefault="00535271">
                          <w:pPr>
                            <w:spacing w:line="245" w:lineRule="exact"/>
                            <w:ind w:left="60"/>
                            <w:rPr>
                              <w:rFonts w:ascii="Calibri"/>
                            </w:rPr>
                          </w:pPr>
                          <w:r>
                            <w:fldChar w:fldCharType="begin"/>
                          </w:r>
                          <w:r>
                            <w:rPr>
                              <w:rFonts w:ascii="Calibri"/>
                            </w:rPr>
                            <w:instrText xml:space="preserve"> PAGE </w:instrText>
                          </w:r>
                          <w:r>
                            <w:fldChar w:fldCharType="separate"/>
                          </w:r>
                          <w:r w:rsidR="00927479">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1.6pt;margin-top:730.4pt;width:11.6pt;height:13.0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" filled="f" stroked="f">
              <v:textbox inset="0,0,0,0">
                <w:txbxContent>
                  <w:p w:rsidR="00535271" w:rsidRDefault="00535271">
                    <w:pPr>
                      <w:spacing w:line="245" w:lineRule="exact"/>
                      <w:ind w:left="60"/>
                      <w:rPr>
                        <w:rFonts w:ascii="Calibri"/>
                      </w:rPr>
                    </w:pPr>
                    <w:r>
                      <w:fldChar w:fldCharType="begin"/>
                    </w:r>
                    <w:r>
                      <w:rPr>
                        <w:rFonts w:ascii="Calibri"/>
                      </w:rPr>
                      <w:instrText xml:space="preserve"> PAGE </w:instrText>
                    </w:r>
                    <w:r>
                      <w:fldChar w:fldCharType="separate"/>
                    </w:r>
                    <w:r w:rsidR="00927479">
                      <w:rPr>
                        <w:rFonts w:ascii="Calibri"/>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60" w:rsidRDefault="00A75460">
      <w:r>
        <w:separator/>
      </w:r>
    </w:p>
  </w:footnote>
  <w:footnote w:type="continuationSeparator" w:id="0">
    <w:p w:rsidR="00A75460" w:rsidRDefault="00A75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71" w:rsidRDefault="00E15694">
    <w:pPr>
      <w:pStyle w:val="BodyText"/>
      <w:spacing w:line="14" w:lineRule="auto"/>
      <w:ind w:left="0" w:firstLine="0"/>
      <w:rPr>
        <w:sz w:val="20"/>
      </w:rPr>
    </w:pPr>
    <w:r>
      <w:rPr>
        <w:noProof/>
        <w:lang w:bidi="ar-SA"/>
      </w:rPr>
      <mc:AlternateContent>
        <mc:Choice Requires="wps">
          <w:drawing>
            <wp:anchor distT="0" distB="0" distL="114300" distR="114300" simplePos="0" relativeHeight="251540480" behindDoc="1" locked="0" layoutInCell="1" allowOverlap="1">
              <wp:simplePos x="0" y="0"/>
              <wp:positionH relativeFrom="page">
                <wp:posOffset>2087880</wp:posOffset>
              </wp:positionH>
              <wp:positionV relativeFrom="page">
                <wp:posOffset>449580</wp:posOffset>
              </wp:positionV>
              <wp:extent cx="3600450" cy="546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694" w:rsidRDefault="00E15694">
                          <w:pPr>
                            <w:spacing w:before="12"/>
                            <w:ind w:left="20" w:right="3" w:firstLine="266"/>
                            <w:rPr>
                              <w:b/>
                              <w:sz w:val="24"/>
                            </w:rPr>
                          </w:pPr>
                        </w:p>
                        <w:p w:rsidR="00535271" w:rsidRDefault="00535271">
                          <w:pPr>
                            <w:spacing w:before="12"/>
                            <w:ind w:left="20" w:right="3" w:firstLine="266"/>
                            <w:rPr>
                              <w:b/>
                              <w:sz w:val="24"/>
                            </w:rPr>
                          </w:pPr>
                          <w:r>
                            <w:rPr>
                              <w:b/>
                              <w:sz w:val="24"/>
                            </w:rPr>
                            <w:t xml:space="preserve">INVENIO MEDICAL – 2020 ANNUAL REPORT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4pt;margin-top:35.4pt;width:283.5pt;height:43.0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kOrQIAAKk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" filled="f" stroked="f">
              <v:textbox inset="0,0,0,0">
                <w:txbxContent>
                  <w:p w:rsidR="00E15694" w:rsidRDefault="00E15694">
                    <w:pPr>
                      <w:spacing w:before="12"/>
                      <w:ind w:left="20" w:right="3" w:firstLine="266"/>
                      <w:rPr>
                        <w:b/>
                        <w:sz w:val="24"/>
                      </w:rPr>
                    </w:pPr>
                  </w:p>
                  <w:p w:rsidR="00535271" w:rsidRDefault="00535271">
                    <w:pPr>
                      <w:spacing w:before="12"/>
                      <w:ind w:left="20" w:right="3" w:firstLine="266"/>
                      <w:rPr>
                        <w:b/>
                        <w:sz w:val="24"/>
                      </w:rPr>
                    </w:pPr>
                    <w:r>
                      <w:rPr>
                        <w:b/>
                        <w:sz w:val="24"/>
                      </w:rPr>
                      <w:t xml:space="preserve">INVENIO MEDICAL – 2020 ANNUAL REPORT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3FC"/>
    <w:multiLevelType w:val="hybridMultilevel"/>
    <w:tmpl w:val="A5648D7A"/>
    <w:lvl w:ilvl="0" w:tplc="1E388B2E">
      <w:start w:val="1"/>
      <w:numFmt w:val="decimal"/>
      <w:lvlText w:val="%1."/>
      <w:lvlJc w:val="left"/>
      <w:pPr>
        <w:ind w:left="820" w:hanging="360"/>
        <w:jc w:val="left"/>
      </w:pPr>
      <w:rPr>
        <w:rFonts w:ascii="Arial" w:eastAsia="Arial" w:hAnsi="Arial" w:cs="Arial" w:hint="default"/>
        <w:spacing w:val="-4"/>
        <w:w w:val="99"/>
        <w:sz w:val="24"/>
        <w:szCs w:val="24"/>
        <w:lang w:val="en-US" w:eastAsia="en-US" w:bidi="en-US"/>
      </w:rPr>
    </w:lvl>
    <w:lvl w:ilvl="1" w:tplc="DB04A1F2">
      <w:start w:val="1"/>
      <w:numFmt w:val="upperLetter"/>
      <w:lvlText w:val="%2."/>
      <w:lvlJc w:val="left"/>
      <w:pPr>
        <w:ind w:left="1180" w:hanging="360"/>
        <w:jc w:val="left"/>
      </w:pPr>
      <w:rPr>
        <w:rFonts w:ascii="Arial" w:eastAsia="Arial" w:hAnsi="Arial" w:cs="Arial" w:hint="default"/>
        <w:w w:val="100"/>
        <w:sz w:val="24"/>
        <w:szCs w:val="24"/>
        <w:lang w:val="en-US" w:eastAsia="en-US" w:bidi="en-US"/>
      </w:rPr>
    </w:lvl>
    <w:lvl w:ilvl="2" w:tplc="358813AC">
      <w:numFmt w:val="bullet"/>
      <w:lvlText w:val="•"/>
      <w:lvlJc w:val="left"/>
      <w:pPr>
        <w:ind w:left="1540" w:hanging="360"/>
      </w:pPr>
      <w:rPr>
        <w:rFonts w:hint="default"/>
        <w:lang w:val="en-US" w:eastAsia="en-US" w:bidi="en-US"/>
      </w:rPr>
    </w:lvl>
    <w:lvl w:ilvl="3" w:tplc="FFC48FDC">
      <w:numFmt w:val="bullet"/>
      <w:lvlText w:val="•"/>
      <w:lvlJc w:val="left"/>
      <w:pPr>
        <w:ind w:left="2545" w:hanging="360"/>
      </w:pPr>
      <w:rPr>
        <w:rFonts w:hint="default"/>
        <w:lang w:val="en-US" w:eastAsia="en-US" w:bidi="en-US"/>
      </w:rPr>
    </w:lvl>
    <w:lvl w:ilvl="4" w:tplc="7F3CAE46">
      <w:numFmt w:val="bullet"/>
      <w:lvlText w:val="•"/>
      <w:lvlJc w:val="left"/>
      <w:pPr>
        <w:ind w:left="3550" w:hanging="360"/>
      </w:pPr>
      <w:rPr>
        <w:rFonts w:hint="default"/>
        <w:lang w:val="en-US" w:eastAsia="en-US" w:bidi="en-US"/>
      </w:rPr>
    </w:lvl>
    <w:lvl w:ilvl="5" w:tplc="2C4225D2">
      <w:numFmt w:val="bullet"/>
      <w:lvlText w:val="•"/>
      <w:lvlJc w:val="left"/>
      <w:pPr>
        <w:ind w:left="4555" w:hanging="360"/>
      </w:pPr>
      <w:rPr>
        <w:rFonts w:hint="default"/>
        <w:lang w:val="en-US" w:eastAsia="en-US" w:bidi="en-US"/>
      </w:rPr>
    </w:lvl>
    <w:lvl w:ilvl="6" w:tplc="3514A5E2">
      <w:numFmt w:val="bullet"/>
      <w:lvlText w:val="•"/>
      <w:lvlJc w:val="left"/>
      <w:pPr>
        <w:ind w:left="5560" w:hanging="360"/>
      </w:pPr>
      <w:rPr>
        <w:rFonts w:hint="default"/>
        <w:lang w:val="en-US" w:eastAsia="en-US" w:bidi="en-US"/>
      </w:rPr>
    </w:lvl>
    <w:lvl w:ilvl="7" w:tplc="3970050E">
      <w:numFmt w:val="bullet"/>
      <w:lvlText w:val="•"/>
      <w:lvlJc w:val="left"/>
      <w:pPr>
        <w:ind w:left="6565" w:hanging="360"/>
      </w:pPr>
      <w:rPr>
        <w:rFonts w:hint="default"/>
        <w:lang w:val="en-US" w:eastAsia="en-US" w:bidi="en-US"/>
      </w:rPr>
    </w:lvl>
    <w:lvl w:ilvl="8" w:tplc="227EA268">
      <w:numFmt w:val="bullet"/>
      <w:lvlText w:val="•"/>
      <w:lvlJc w:val="left"/>
      <w:pPr>
        <w:ind w:left="7570" w:hanging="360"/>
      </w:pPr>
      <w:rPr>
        <w:rFonts w:hint="default"/>
        <w:lang w:val="en-US" w:eastAsia="en-US" w:bidi="en-US"/>
      </w:rPr>
    </w:lvl>
  </w:abstractNum>
  <w:abstractNum w:abstractNumId="1">
    <w:nsid w:val="3254001D"/>
    <w:multiLevelType w:val="hybridMultilevel"/>
    <w:tmpl w:val="F68C0A6E"/>
    <w:lvl w:ilvl="0" w:tplc="642C81AC">
      <w:start w:val="1"/>
      <w:numFmt w:val="decimal"/>
      <w:lvlText w:val="%1)"/>
      <w:lvlJc w:val="left"/>
      <w:pPr>
        <w:ind w:left="720" w:hanging="360"/>
      </w:pPr>
      <w:rPr>
        <w:rFonts w:ascii="Times New Roman" w:hAnsi="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008A5"/>
    <w:multiLevelType w:val="hybridMultilevel"/>
    <w:tmpl w:val="C3B6CC20"/>
    <w:lvl w:ilvl="0" w:tplc="5B1CC254">
      <w:numFmt w:val="bullet"/>
      <w:lvlText w:val=""/>
      <w:lvlJc w:val="left"/>
      <w:pPr>
        <w:ind w:left="820" w:hanging="360"/>
      </w:pPr>
      <w:rPr>
        <w:rFonts w:ascii="Symbol" w:eastAsia="Symbol" w:hAnsi="Symbol" w:cs="Symbol" w:hint="default"/>
        <w:w w:val="100"/>
        <w:sz w:val="24"/>
        <w:szCs w:val="24"/>
        <w:lang w:val="en-US" w:eastAsia="en-US" w:bidi="en-US"/>
      </w:rPr>
    </w:lvl>
    <w:lvl w:ilvl="1" w:tplc="C584E510">
      <w:numFmt w:val="bullet"/>
      <w:lvlText w:val="-"/>
      <w:lvlJc w:val="left"/>
      <w:pPr>
        <w:ind w:left="1180" w:hanging="360"/>
      </w:pPr>
      <w:rPr>
        <w:rFonts w:ascii="Arial" w:eastAsia="Arial" w:hAnsi="Arial" w:cs="Arial" w:hint="default"/>
        <w:spacing w:val="-2"/>
        <w:w w:val="99"/>
        <w:sz w:val="24"/>
        <w:szCs w:val="24"/>
        <w:lang w:val="en-US" w:eastAsia="en-US" w:bidi="en-US"/>
      </w:rPr>
    </w:lvl>
    <w:lvl w:ilvl="2" w:tplc="16A6256A">
      <w:numFmt w:val="bullet"/>
      <w:lvlText w:val="•"/>
      <w:lvlJc w:val="left"/>
      <w:pPr>
        <w:ind w:left="2113" w:hanging="360"/>
      </w:pPr>
      <w:rPr>
        <w:rFonts w:hint="default"/>
        <w:lang w:val="en-US" w:eastAsia="en-US" w:bidi="en-US"/>
      </w:rPr>
    </w:lvl>
    <w:lvl w:ilvl="3" w:tplc="BC582396">
      <w:numFmt w:val="bullet"/>
      <w:lvlText w:val="•"/>
      <w:lvlJc w:val="left"/>
      <w:pPr>
        <w:ind w:left="3046" w:hanging="360"/>
      </w:pPr>
      <w:rPr>
        <w:rFonts w:hint="default"/>
        <w:lang w:val="en-US" w:eastAsia="en-US" w:bidi="en-US"/>
      </w:rPr>
    </w:lvl>
    <w:lvl w:ilvl="4" w:tplc="935E0CB6">
      <w:numFmt w:val="bullet"/>
      <w:lvlText w:val="•"/>
      <w:lvlJc w:val="left"/>
      <w:pPr>
        <w:ind w:left="3980" w:hanging="360"/>
      </w:pPr>
      <w:rPr>
        <w:rFonts w:hint="default"/>
        <w:lang w:val="en-US" w:eastAsia="en-US" w:bidi="en-US"/>
      </w:rPr>
    </w:lvl>
    <w:lvl w:ilvl="5" w:tplc="0FBAD4C0">
      <w:numFmt w:val="bullet"/>
      <w:lvlText w:val="•"/>
      <w:lvlJc w:val="left"/>
      <w:pPr>
        <w:ind w:left="4913" w:hanging="360"/>
      </w:pPr>
      <w:rPr>
        <w:rFonts w:hint="default"/>
        <w:lang w:val="en-US" w:eastAsia="en-US" w:bidi="en-US"/>
      </w:rPr>
    </w:lvl>
    <w:lvl w:ilvl="6" w:tplc="65DAF802">
      <w:numFmt w:val="bullet"/>
      <w:lvlText w:val="•"/>
      <w:lvlJc w:val="left"/>
      <w:pPr>
        <w:ind w:left="5846" w:hanging="360"/>
      </w:pPr>
      <w:rPr>
        <w:rFonts w:hint="default"/>
        <w:lang w:val="en-US" w:eastAsia="en-US" w:bidi="en-US"/>
      </w:rPr>
    </w:lvl>
    <w:lvl w:ilvl="7" w:tplc="EF96F498">
      <w:numFmt w:val="bullet"/>
      <w:lvlText w:val="•"/>
      <w:lvlJc w:val="left"/>
      <w:pPr>
        <w:ind w:left="6780" w:hanging="360"/>
      </w:pPr>
      <w:rPr>
        <w:rFonts w:hint="default"/>
        <w:lang w:val="en-US" w:eastAsia="en-US" w:bidi="en-US"/>
      </w:rPr>
    </w:lvl>
    <w:lvl w:ilvl="8" w:tplc="3106161A">
      <w:numFmt w:val="bullet"/>
      <w:lvlText w:val="•"/>
      <w:lvlJc w:val="left"/>
      <w:pPr>
        <w:ind w:left="7713" w:hanging="360"/>
      </w:pPr>
      <w:rPr>
        <w:rFonts w:hint="default"/>
        <w:lang w:val="en-US" w:eastAsia="en-US" w:bidi="en-US"/>
      </w:rPr>
    </w:lvl>
  </w:abstractNum>
  <w:abstractNum w:abstractNumId="3">
    <w:nsid w:val="62F93392"/>
    <w:multiLevelType w:val="hybridMultilevel"/>
    <w:tmpl w:val="3F06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4BD9F7-A296-4BB5-832A-12ED2877FF4D}"/>
    <w:docVar w:name="dgnword-eventsink" w:val="137439008"/>
  </w:docVars>
  <w:rsids>
    <w:rsidRoot w:val="00D24596"/>
    <w:rsid w:val="00022D78"/>
    <w:rsid w:val="00034782"/>
    <w:rsid w:val="0005121B"/>
    <w:rsid w:val="000B10E2"/>
    <w:rsid w:val="000E665B"/>
    <w:rsid w:val="0014542E"/>
    <w:rsid w:val="00216460"/>
    <w:rsid w:val="002E61ED"/>
    <w:rsid w:val="00360C81"/>
    <w:rsid w:val="003E5008"/>
    <w:rsid w:val="003F4DDA"/>
    <w:rsid w:val="00413018"/>
    <w:rsid w:val="00456658"/>
    <w:rsid w:val="00467EBB"/>
    <w:rsid w:val="004726E6"/>
    <w:rsid w:val="00535271"/>
    <w:rsid w:val="005716BE"/>
    <w:rsid w:val="00641865"/>
    <w:rsid w:val="0065223D"/>
    <w:rsid w:val="006A4869"/>
    <w:rsid w:val="006C64DA"/>
    <w:rsid w:val="00816C11"/>
    <w:rsid w:val="008301BE"/>
    <w:rsid w:val="00836C98"/>
    <w:rsid w:val="008D6DDA"/>
    <w:rsid w:val="008F0802"/>
    <w:rsid w:val="00927479"/>
    <w:rsid w:val="00995E4E"/>
    <w:rsid w:val="009A4441"/>
    <w:rsid w:val="009C03C5"/>
    <w:rsid w:val="009C17A0"/>
    <w:rsid w:val="00A13AB5"/>
    <w:rsid w:val="00A14B09"/>
    <w:rsid w:val="00A67F22"/>
    <w:rsid w:val="00A75460"/>
    <w:rsid w:val="00AD478F"/>
    <w:rsid w:val="00BB5E24"/>
    <w:rsid w:val="00CE074A"/>
    <w:rsid w:val="00CE0E9B"/>
    <w:rsid w:val="00D04C6C"/>
    <w:rsid w:val="00D24596"/>
    <w:rsid w:val="00D24DC0"/>
    <w:rsid w:val="00D253BB"/>
    <w:rsid w:val="00D95145"/>
    <w:rsid w:val="00DC3089"/>
    <w:rsid w:val="00E15694"/>
    <w:rsid w:val="00F13AE1"/>
    <w:rsid w:val="00F505C7"/>
    <w:rsid w:val="00F712A9"/>
    <w:rsid w:val="00FB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9C17A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360C81"/>
    <w:pPr>
      <w:tabs>
        <w:tab w:val="center" w:pos="4680"/>
        <w:tab w:val="right" w:pos="9360"/>
      </w:tabs>
    </w:pPr>
  </w:style>
  <w:style w:type="character" w:customStyle="1" w:styleId="HeaderChar">
    <w:name w:val="Header Char"/>
    <w:basedOn w:val="DefaultParagraphFont"/>
    <w:link w:val="Header"/>
    <w:uiPriority w:val="99"/>
    <w:rsid w:val="00360C81"/>
    <w:rPr>
      <w:rFonts w:ascii="Arial" w:eastAsia="Arial" w:hAnsi="Arial" w:cs="Arial"/>
      <w:lang w:bidi="en-US"/>
    </w:rPr>
  </w:style>
  <w:style w:type="paragraph" w:styleId="Footer">
    <w:name w:val="footer"/>
    <w:basedOn w:val="Normal"/>
    <w:link w:val="FooterChar"/>
    <w:uiPriority w:val="99"/>
    <w:unhideWhenUsed/>
    <w:rsid w:val="00360C81"/>
    <w:pPr>
      <w:tabs>
        <w:tab w:val="center" w:pos="4680"/>
        <w:tab w:val="right" w:pos="9360"/>
      </w:tabs>
    </w:pPr>
  </w:style>
  <w:style w:type="character" w:customStyle="1" w:styleId="FooterChar">
    <w:name w:val="Footer Char"/>
    <w:basedOn w:val="DefaultParagraphFont"/>
    <w:link w:val="Footer"/>
    <w:uiPriority w:val="99"/>
    <w:rsid w:val="00360C81"/>
    <w:rPr>
      <w:rFonts w:ascii="Arial" w:eastAsia="Arial" w:hAnsi="Arial" w:cs="Arial"/>
      <w:lang w:bidi="en-US"/>
    </w:rPr>
  </w:style>
  <w:style w:type="paragraph" w:styleId="BalloonText">
    <w:name w:val="Balloon Text"/>
    <w:basedOn w:val="Normal"/>
    <w:link w:val="BalloonTextChar"/>
    <w:uiPriority w:val="99"/>
    <w:semiHidden/>
    <w:unhideWhenUsed/>
    <w:rsid w:val="005716BE"/>
    <w:rPr>
      <w:rFonts w:ascii="Tahoma" w:hAnsi="Tahoma" w:cs="Tahoma"/>
      <w:sz w:val="16"/>
      <w:szCs w:val="16"/>
    </w:rPr>
  </w:style>
  <w:style w:type="character" w:customStyle="1" w:styleId="BalloonTextChar">
    <w:name w:val="Balloon Text Char"/>
    <w:basedOn w:val="DefaultParagraphFont"/>
    <w:link w:val="BalloonText"/>
    <w:uiPriority w:val="99"/>
    <w:semiHidden/>
    <w:rsid w:val="005716BE"/>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9C17A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360C81"/>
    <w:pPr>
      <w:tabs>
        <w:tab w:val="center" w:pos="4680"/>
        <w:tab w:val="right" w:pos="9360"/>
      </w:tabs>
    </w:pPr>
  </w:style>
  <w:style w:type="character" w:customStyle="1" w:styleId="HeaderChar">
    <w:name w:val="Header Char"/>
    <w:basedOn w:val="DefaultParagraphFont"/>
    <w:link w:val="Header"/>
    <w:uiPriority w:val="99"/>
    <w:rsid w:val="00360C81"/>
    <w:rPr>
      <w:rFonts w:ascii="Arial" w:eastAsia="Arial" w:hAnsi="Arial" w:cs="Arial"/>
      <w:lang w:bidi="en-US"/>
    </w:rPr>
  </w:style>
  <w:style w:type="paragraph" w:styleId="Footer">
    <w:name w:val="footer"/>
    <w:basedOn w:val="Normal"/>
    <w:link w:val="FooterChar"/>
    <w:uiPriority w:val="99"/>
    <w:unhideWhenUsed/>
    <w:rsid w:val="00360C81"/>
    <w:pPr>
      <w:tabs>
        <w:tab w:val="center" w:pos="4680"/>
        <w:tab w:val="right" w:pos="9360"/>
      </w:tabs>
    </w:pPr>
  </w:style>
  <w:style w:type="character" w:customStyle="1" w:styleId="FooterChar">
    <w:name w:val="Footer Char"/>
    <w:basedOn w:val="DefaultParagraphFont"/>
    <w:link w:val="Footer"/>
    <w:uiPriority w:val="99"/>
    <w:rsid w:val="00360C81"/>
    <w:rPr>
      <w:rFonts w:ascii="Arial" w:eastAsia="Arial" w:hAnsi="Arial" w:cs="Arial"/>
      <w:lang w:bidi="en-US"/>
    </w:rPr>
  </w:style>
  <w:style w:type="paragraph" w:styleId="BalloonText">
    <w:name w:val="Balloon Text"/>
    <w:basedOn w:val="Normal"/>
    <w:link w:val="BalloonTextChar"/>
    <w:uiPriority w:val="99"/>
    <w:semiHidden/>
    <w:unhideWhenUsed/>
    <w:rsid w:val="005716BE"/>
    <w:rPr>
      <w:rFonts w:ascii="Tahoma" w:hAnsi="Tahoma" w:cs="Tahoma"/>
      <w:sz w:val="16"/>
      <w:szCs w:val="16"/>
    </w:rPr>
  </w:style>
  <w:style w:type="character" w:customStyle="1" w:styleId="BalloonTextChar">
    <w:name w:val="Balloon Text Char"/>
    <w:basedOn w:val="DefaultParagraphFont"/>
    <w:link w:val="BalloonText"/>
    <w:uiPriority w:val="99"/>
    <w:semiHidden/>
    <w:rsid w:val="005716BE"/>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9077">
      <w:bodyDiv w:val="1"/>
      <w:marLeft w:val="0"/>
      <w:marRight w:val="0"/>
      <w:marTop w:val="0"/>
      <w:marBottom w:val="0"/>
      <w:divBdr>
        <w:top w:val="none" w:sz="0" w:space="0" w:color="auto"/>
        <w:left w:val="none" w:sz="0" w:space="0" w:color="auto"/>
        <w:bottom w:val="none" w:sz="0" w:space="0" w:color="auto"/>
        <w:right w:val="none" w:sz="0" w:space="0" w:color="auto"/>
      </w:divBdr>
    </w:div>
    <w:div w:id="1707291896">
      <w:bodyDiv w:val="1"/>
      <w:marLeft w:val="0"/>
      <w:marRight w:val="0"/>
      <w:marTop w:val="0"/>
      <w:marBottom w:val="0"/>
      <w:divBdr>
        <w:top w:val="none" w:sz="0" w:space="0" w:color="auto"/>
        <w:left w:val="none" w:sz="0" w:space="0" w:color="auto"/>
        <w:bottom w:val="none" w:sz="0" w:space="0" w:color="auto"/>
        <w:right w:val="none" w:sz="0" w:space="0" w:color="auto"/>
      </w:divBdr>
    </w:div>
    <w:div w:id="1877280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INVENIO MEDICAL - 2019 ANNUAL REPORTIssued to Investors via Email on March 15, 2020Later posted to Invenio Medical WebsiteREGARDING THE 2019 ANNUAL REPORT, BELOW ARE QUESTIONS FROM INVESTORS TO VICTOR LANGE</vt:lpstr>
    </vt:vector>
  </TitlesOfParts>
  <Company>Microsoft</Company>
  <LinksUpToDate>false</LinksUpToDate>
  <CharactersWithSpaces>18708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INVENIO MEDICAL - 2019 ANNUAL REPORTIssued to Investors via Email on March 15, 2020Later posted to Invenio Medical WebsiteREGARDING THE 2019 ANNUAL REPORT, BELOW ARE QUESTIONS FROM INVESTORS TO VICTOR LANGE</dc:title>
  <dc:creator>Ronald Scales</dc:creator>
  <cp:lastModifiedBy>victor.lange</cp:lastModifiedBy>
  <cp:revision>2</cp:revision>
  <dcterms:created xsi:type="dcterms:W3CDTF">2021-04-30T22:26:00Z</dcterms:created>
  <dcterms:modified xsi:type="dcterms:W3CDTF">2021-04-30T22:26:00Z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2020-08-22T00:00:00Z</vt:filetime>
  </property>
  <property fmtid="{D5CDD505-2E9C-101B-9397-08002B2CF9AE}" pid="3" name="Creator">
    <vt:lpwstr>Microsoft® Word for Microsoft 365</vt:lpwstr>
  </property>
  <property fmtid="{D5CDD505-2E9C-101B-9397-08002B2CF9AE}" pid="4" name="LastSaved">
    <vt:filetime>2020-10-05T00:00:00Z</vt:filetime>
  </property>
</Properties>
</file>